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113"/>
        <w:jc w:val="center"/>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center"/>
        <w:rPr>
          <w:rFonts w:ascii="Arial" w:hAnsi="Arial" w:eastAsia="Arial" w:cs="Arial"/>
          <w:b/>
          <w:b/>
          <w:color w:val="000000"/>
          <w:sz w:val="30"/>
          <w:highlight w:val="white"/>
        </w:rPr>
      </w:pPr>
      <w:r>
        <w:rPr>
          <w:rFonts w:eastAsia="Arial" w:cs="Arial" w:ascii="Arial" w:hAnsi="Arial"/>
          <w:b/>
          <w:color w:val="000000"/>
          <w:sz w:val="30"/>
          <w:shd w:fill="FFFFFF" w:val="clear"/>
        </w:rPr>
        <w:t>Modelo de Projeto de Criação do</w:t>
      </w:r>
    </w:p>
    <w:p>
      <w:pPr>
        <w:pStyle w:val="Normal"/>
        <w:suppressAutoHyphens w:val="true"/>
        <w:spacing w:lineRule="auto" w:line="240" w:before="0" w:after="113"/>
        <w:jc w:val="center"/>
        <w:rPr>
          <w:rFonts w:ascii="Arial" w:hAnsi="Arial" w:eastAsia="Arial" w:cs="Arial"/>
          <w:color w:val="000000"/>
          <w:sz w:val="30"/>
          <w:highlight w:val="white"/>
        </w:rPr>
      </w:pPr>
      <w:r>
        <w:rPr>
          <w:rFonts w:eastAsia="Arial" w:cs="Arial" w:ascii="Arial" w:hAnsi="Arial"/>
          <w:b/>
          <w:color w:val="000000"/>
          <w:sz w:val="30"/>
          <w:shd w:fill="FFFFFF" w:val="clear"/>
        </w:rPr>
        <w:t>Núcleo Incubador do Campus XXXX</w:t>
      </w:r>
    </w:p>
    <w:p>
      <w:pPr>
        <w:pStyle w:val="Normal"/>
        <w:suppressAutoHyphens w:val="true"/>
        <w:spacing w:lineRule="auto" w:line="240" w:before="0" w:after="113"/>
        <w:ind w:left="3402" w:hanging="0"/>
        <w:jc w:val="both"/>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1. Introdução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A Resolução do Conselho Superior Nº 84/2017 de 28 de setembro de 2017, que regimenta a Ativa Incubadora de Empresas do IFMT, institui regras e procedimentos para a institucionalização dos Núcleos Incubadores nos Campi.</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Presente projeto objetiva institucionalizar o Núcleo Incubador, posicionado na Coordenação Extensão do Campus e vinculado à Ativa  Incubadora do IFMT.</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Núcleo Incubador (NI) é a unidade responsável por propiciar aos alunos, servidores e à sociedade (comunidade do entorno do campus, setor produtivo, segmento empresarial, egressos) um ambiente adequado para a criação, o desenvolvimento e a consolidação de empreendimentos inovadores.</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NI XXXX, nos termos do seu Regimento Interno, será um polo de estímulo à inovação e ao empreendedorismo na região, com atuação na prospecção e apoio a empreendimentos para pré-incubação e incubação e acompanhamento (relacionamento contínuo) aos empreendimentos graduados. O Núcleo oferecerá um conjunto de ações caracterizadas como suporte à evolução dos empreendimentos inovadores pelo uso de tecnologias e métodos de gestão estratégica e operacional, além de infraestrutura adequada.</w:t>
      </w:r>
    </w:p>
    <w:p>
      <w:pPr>
        <w:pStyle w:val="Normal"/>
        <w:suppressAutoHyphens w:val="true"/>
        <w:spacing w:lineRule="auto" w:line="240" w:before="0" w:after="113"/>
        <w:jc w:val="both"/>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2. Justificativa</w:t>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 O Campus e a Vocação do seu Núcleo Incubador e as demandas locais</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Neste tópico a proposta deverá descrever as competências, áreas de atuação e atividades de ensino, pesquisa e extensão desenvolvidas no Campus bem como uma proposta de foco de atuação do Núcleo Incubador.</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Ciente da missão de promover educação profissional, científica e tecnológica de excelência, por meio do ensino, pesquisa e extensão, com foco no desenvolvimento humano sustentável, o campus xxx do Instituto Federal do Mato Grosso – IFMT, faz parte da Rede de Ensino Federal, que há mais de 100 anos vem oferecendo ensino público de qualidade em sintonia com as demandas do mercado. Além disso, possui uma excelente infraestrutura, professores qualificados e profissionais administrativos capacitados para atender aos alunos.</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A título de exemplo acerca da qualificação dos professores, o campus possui um corpo docente formado por Mestres e Doutores, apresentando um perfil vocacionado para a pesquisa, tendo nas atividades relacionadas ao desenvolvimento científico e tecnológico sua maior expressão.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Campus foi inaugurado em XXXX, e seguindo a portaria do Ministério da Educação (MEC) nº 000 que ampara o funcionamento da Instituição, ainda está em processo de implantação até 201</w:t>
      </w:r>
      <w:r>
        <w:rPr>
          <w:rFonts w:eastAsia="Arial" w:cs="Arial" w:ascii="Arial" w:hAnsi="Arial"/>
          <w:i/>
          <w:color w:val="808080" w:themeColor="background1" w:themeShade="80"/>
          <w:sz w:val="20"/>
          <w:shd w:fill="FFFFFF" w:val="clear"/>
        </w:rPr>
        <w:t>9</w:t>
      </w:r>
      <w:r>
        <w:rPr>
          <w:rFonts w:eastAsia="Arial" w:cs="Arial" w:ascii="Arial" w:hAnsi="Arial"/>
          <w:i/>
          <w:color w:val="808080" w:themeColor="background1" w:themeShade="80"/>
          <w:sz w:val="20"/>
          <w:shd w:fill="FFFFFF" w:val="clear"/>
        </w:rPr>
        <w:t>. Ainda está prevista a construção de mais quatro blocos. As obras incluem espaços para ginásio poliesportivo, refeitório/área de serviço, biblioteca e teatro. Também será construída no campus uma fazenda experimental com modelos de produção animal e vegetal.</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Na área de ensino, o campus oferece os cursos Técnico em Administração integrado ao Ensino Médio e Técnico em Agropecuária integrado ao Ensino Médio.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objetivo ao definir o foco é tornar explícita as áreas de atuação dos empreendimentos inovadores que serão apoiados pelo Núcleo Incubador. Esta definição é resultado da análise do Arranjo Produtivo Local (APL) o qual encontra-se situado o Campus XXXX em consonância com as necessidades e potencialidades da região.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foco do Núcleo Incubador será apoio a empreendimentos de base tecnológica, social e cultural ou seja, empreendimentos inovadores cujos produtos, processos ou serviços oferecem desenvolvimento social para a região.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O Núcleo Incubador XXX apoiará, preferencialmente, empreendimentos nas seguintes áreas:</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 Administração</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 Agropecuária</w:t>
      </w:r>
    </w:p>
    <w:p>
      <w:pPr>
        <w:pStyle w:val="Normal"/>
        <w:suppressAutoHyphens w:val="true"/>
        <w:spacing w:lineRule="auto" w:line="240" w:before="0" w:after="113"/>
        <w:jc w:val="both"/>
        <w:rPr>
          <w:rFonts w:ascii="Arial" w:hAnsi="Arial" w:eastAsia="Arial" w:cs="Arial"/>
          <w:i/>
          <w:i/>
          <w:color w:val="808080" w:themeColor="background1" w:themeShade="80"/>
          <w:sz w:val="20"/>
          <w:highlight w:val="white"/>
        </w:rPr>
      </w:pPr>
      <w:r>
        <w:rPr>
          <w:rFonts w:eastAsia="Arial" w:cs="Arial" w:ascii="Arial" w:hAnsi="Arial"/>
          <w:i/>
          <w:color w:val="808080" w:themeColor="background1" w:themeShade="80"/>
          <w:sz w:val="20"/>
          <w:shd w:fill="FFFFFF" w:val="clear"/>
        </w:rPr>
        <w:t>- Gestão Social e Cultural</w:t>
      </w:r>
    </w:p>
    <w:p>
      <w:pPr>
        <w:pStyle w:val="Normal"/>
        <w:suppressAutoHyphens w:val="true"/>
        <w:spacing w:lineRule="auto" w:line="240" w:before="0" w:after="113"/>
        <w:jc w:val="both"/>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3. Infraestrutura disponibilizada ao Núcleo Incubador do Campus XXXX</w:t>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 Recursos Humanos</w:t>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 Materiais</w:t>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 Equipamentos</w:t>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 Apoio Logístico</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Neste tópico a proposta deve apresentar:</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 A descrição do espaço físico que será disponibilizado para a implantação do Núcleo.</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 A relação dos serviços operacionais e de apoio que serão disponibilizados pelo campus para utilização compartilhada pelo Núcleo (Ex. Manutenção da rede de dados com recursos para acesso a (à) internet; Limpeza e conservação; Vigilância; Energia Elétrica; Água e Esgoto; Manutenção e Conservação de bens imóveis; Telefonia).</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 A relação de instalações que serão disponibilizadas para utilização compartilhada pelo Núcleo.</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 Horário de funcionamento.</w:t>
      </w:r>
    </w:p>
    <w:p>
      <w:pPr>
        <w:pStyle w:val="Normal"/>
        <w:suppressAutoHyphens w:val="true"/>
        <w:spacing w:lineRule="auto" w:line="240" w:before="0" w:after="113"/>
        <w:jc w:val="both"/>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both"/>
        <w:rPr/>
      </w:pPr>
      <w:r>
        <w:rPr>
          <w:rFonts w:eastAsia="Arial" w:cs="Arial" w:ascii="Arial" w:hAnsi="Arial"/>
          <w:b/>
          <w:color w:val="000000"/>
          <w:sz w:val="20"/>
          <w:shd w:fill="FFFFFF" w:val="clear"/>
        </w:rPr>
        <w:t>4. Cronograma de Atividades para 201</w:t>
      </w:r>
      <w:r>
        <w:rPr>
          <w:rFonts w:eastAsia="Arial" w:cs="Arial" w:ascii="Arial" w:hAnsi="Arial"/>
          <w:b/>
          <w:color w:val="000000"/>
          <w:sz w:val="20"/>
          <w:shd w:fill="FFFFFF" w:val="clear"/>
        </w:rPr>
        <w:t>9</w:t>
      </w:r>
    </w:p>
    <w:p>
      <w:pPr>
        <w:pStyle w:val="Normal"/>
        <w:suppressAutoHyphens w:val="true"/>
        <w:spacing w:lineRule="auto" w:line="240" w:before="0" w:after="113"/>
        <w:jc w:val="both"/>
        <w:rPr/>
      </w:pPr>
      <w:r>
        <w:rPr>
          <w:rFonts w:eastAsia="Arial" w:cs="Arial" w:ascii="Arial" w:hAnsi="Arial"/>
          <w:color w:val="000000"/>
          <w:sz w:val="20"/>
          <w:shd w:fill="FFFFFF" w:val="clear"/>
        </w:rPr>
        <w:t>Descrição e metodologia das principais atividades a serem desenvolvidas em 201</w:t>
      </w:r>
      <w:r>
        <w:rPr>
          <w:rFonts w:eastAsia="Arial" w:cs="Arial" w:ascii="Arial" w:hAnsi="Arial"/>
          <w:color w:val="000000"/>
          <w:sz w:val="20"/>
          <w:shd w:fill="FFFFFF" w:val="clear"/>
        </w:rPr>
        <w:t>9</w:t>
      </w:r>
      <w:r>
        <w:rPr>
          <w:rFonts w:eastAsia="Arial" w:cs="Arial" w:ascii="Arial" w:hAnsi="Arial"/>
          <w:color w:val="000000"/>
          <w:sz w:val="20"/>
          <w:shd w:fill="FFFFFF" w:val="clear"/>
        </w:rPr>
        <w:t>, como pré-incubação ou incubação de empresas, acompanhamento de empresas juniores, eventos, capacitações, qualificações, participações em eventos de empreendedorismo e inovação e outras atividades correlatas.</w:t>
      </w:r>
    </w:p>
    <w:tbl>
      <w:tblPr>
        <w:tblW w:w="8589" w:type="dxa"/>
        <w:jc w:val="left"/>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5" w:type="dxa"/>
          <w:bottom w:w="0" w:type="dxa"/>
          <w:right w:w="70" w:type="dxa"/>
        </w:tblCellMar>
        <w:tblLook w:firstRow="0" w:noVBand="0" w:lastRow="0" w:firstColumn="0" w:lastColumn="0" w:noHBand="0" w:val="0000"/>
      </w:tblPr>
      <w:tblGrid>
        <w:gridCol w:w="3148"/>
        <w:gridCol w:w="442"/>
        <w:gridCol w:w="419"/>
        <w:gridCol w:w="524"/>
        <w:gridCol w:w="458"/>
        <w:gridCol w:w="475"/>
        <w:gridCol w:w="429"/>
        <w:gridCol w:w="390"/>
        <w:gridCol w:w="490"/>
        <w:gridCol w:w="406"/>
        <w:gridCol w:w="476"/>
        <w:gridCol w:w="493"/>
        <w:gridCol w:w="438"/>
      </w:tblGrid>
      <w:tr>
        <w:trPr/>
        <w:tc>
          <w:tcPr>
            <w:tcW w:w="31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ATIVIDADE (estes são exemplos)</w:t>
            </w:r>
          </w:p>
        </w:tc>
        <w:tc>
          <w:tcPr>
            <w:tcW w:w="442"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J</w:t>
            </w:r>
          </w:p>
        </w:tc>
        <w:tc>
          <w:tcPr>
            <w:tcW w:w="419"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F</w:t>
            </w:r>
          </w:p>
        </w:tc>
        <w:tc>
          <w:tcPr>
            <w:tcW w:w="524"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M</w:t>
            </w:r>
          </w:p>
        </w:tc>
        <w:tc>
          <w:tcPr>
            <w:tcW w:w="458"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A</w:t>
            </w:r>
          </w:p>
        </w:tc>
        <w:tc>
          <w:tcPr>
            <w:tcW w:w="475"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M</w:t>
            </w:r>
          </w:p>
        </w:tc>
        <w:tc>
          <w:tcPr>
            <w:tcW w:w="429"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J</w:t>
            </w:r>
          </w:p>
        </w:tc>
        <w:tc>
          <w:tcPr>
            <w:tcW w:w="390"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J</w:t>
            </w:r>
          </w:p>
        </w:tc>
        <w:tc>
          <w:tcPr>
            <w:tcW w:w="490"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A</w:t>
            </w:r>
          </w:p>
        </w:tc>
        <w:tc>
          <w:tcPr>
            <w:tcW w:w="406"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S</w:t>
            </w:r>
          </w:p>
        </w:tc>
        <w:tc>
          <w:tcPr>
            <w:tcW w:w="476"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O</w:t>
            </w:r>
          </w:p>
        </w:tc>
        <w:tc>
          <w:tcPr>
            <w:tcW w:w="493"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N</w:t>
            </w:r>
          </w:p>
        </w:tc>
        <w:tc>
          <w:tcPr>
            <w:tcW w:w="438"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b/>
                <w:i/>
                <w:color w:val="808080" w:themeColor="background1" w:themeShade="80"/>
              </w:rPr>
              <w:t>D</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Capacitação em Empreendedorismo</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Evento 1: Rodada de negócios</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Evento 2: Palestra sobre StartUp</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Edital de pré-incubação</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Pré-incubação de empreendimentos</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Lançamento de Edital de incubação</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r>
        <w:trPr/>
        <w:tc>
          <w:tcPr>
            <w:tcW w:w="314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65"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Incubação de empreendimentos</w:t>
            </w:r>
          </w:p>
        </w:tc>
        <w:tc>
          <w:tcPr>
            <w:tcW w:w="442"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1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524"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5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5"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29"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3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0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76"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auto"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93"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c>
          <w:tcPr>
            <w:tcW w:w="438"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000000" w:fill="595959" w:val="clear"/>
            <w:tcMar>
              <w:left w:w="62" w:type="dxa"/>
            </w:tcMar>
            <w:vAlign w:val="center"/>
          </w:tcPr>
          <w:p>
            <w:pPr>
              <w:pStyle w:val="Normal"/>
              <w:spacing w:lineRule="auto" w:line="240" w:before="0" w:after="0"/>
              <w:jc w:val="center"/>
              <w:rPr>
                <w:rFonts w:ascii="Calibri" w:hAnsi="Calibri" w:eastAsia="Calibri" w:cs="Calibri"/>
                <w:i/>
                <w:i/>
                <w:color w:val="808080" w:themeColor="background1" w:themeShade="80"/>
              </w:rPr>
            </w:pPr>
            <w:r>
              <w:rPr>
                <w:rFonts w:eastAsia="Calibri" w:cs="Calibri"/>
                <w:i/>
                <w:color w:val="808080" w:themeColor="background1" w:themeShade="80"/>
              </w:rPr>
              <w:t> </w:t>
            </w:r>
          </w:p>
        </w:tc>
      </w:tr>
    </w:tbl>
    <w:p>
      <w:pPr>
        <w:pStyle w:val="Normal"/>
        <w:suppressAutoHyphens w:val="true"/>
        <w:spacing w:lineRule="auto" w:line="240" w:before="0" w:after="113"/>
        <w:jc w:val="both"/>
        <w:rPr>
          <w:rFonts w:ascii="Arial" w:hAnsi="Arial" w:eastAsia="Arial" w:cs="Arial"/>
          <w:color w:val="000000"/>
          <w:sz w:val="20"/>
          <w:shd w:fill="FFFFFF" w:val="clear"/>
        </w:rPr>
      </w:pPr>
      <w:r>
        <w:rPr>
          <w:rFonts w:eastAsia="Arial" w:cs="Arial" w:ascii="Arial" w:hAnsi="Arial"/>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highlight w:val="white"/>
        </w:rPr>
      </w:pPr>
      <w:r>
        <w:rPr>
          <w:rFonts w:eastAsia="Arial" w:cs="Arial" w:ascii="Arial" w:hAnsi="Arial"/>
          <w:b/>
          <w:color w:val="000000"/>
          <w:sz w:val="20"/>
          <w:shd w:fill="FFFFFF" w:val="clear"/>
        </w:rPr>
        <w:t>5. Relação com a pesquisa e ensino, e os impactos esperados para o Campus e região.</w:t>
      </w:r>
    </w:p>
    <w:p>
      <w:pPr>
        <w:pStyle w:val="Normal"/>
        <w:suppressAutoHyphens w:val="true"/>
        <w:spacing w:lineRule="auto" w:line="240" w:before="0" w:after="113"/>
        <w:jc w:val="both"/>
        <w:rPr/>
      </w:pPr>
      <w:r>
        <w:rPr>
          <w:rFonts w:eastAsia="Arial" w:cs="Arial" w:ascii="Arial" w:hAnsi="Arial"/>
          <w:i/>
          <w:color w:val="808080" w:themeColor="background1" w:themeShade="80"/>
          <w:sz w:val="20"/>
          <w:shd w:fill="FFFFFF" w:val="clear"/>
        </w:rPr>
        <w:t xml:space="preserve">O Núcleo </w:t>
      </w:r>
      <w:r>
        <w:rPr>
          <w:rFonts w:eastAsia="Arial" w:cs="Arial" w:ascii="Arial" w:hAnsi="Arial"/>
          <w:i/>
          <w:color w:val="808080" w:themeColor="background1" w:themeShade="80"/>
          <w:sz w:val="20"/>
          <w:shd w:fill="FFFFFF" w:val="clear"/>
        </w:rPr>
        <w:t>promoverá</w:t>
      </w:r>
      <w:r>
        <w:rPr>
          <w:rFonts w:eastAsia="Arial" w:cs="Arial" w:ascii="Arial" w:hAnsi="Arial"/>
          <w:i/>
          <w:color w:val="808080" w:themeColor="background1" w:themeShade="80"/>
          <w:sz w:val="20"/>
          <w:shd w:fill="FFFFFF" w:val="clear"/>
        </w:rPr>
        <w:t xml:space="preserve"> um diálogo interinstitucional, propiciando aos estudantes vivências e qualificações nas temáticas do empreendedorismo, das relações com o mundo do trabalho (como empregados e/ou empregadores), das possibilidades do desenvolvimento da economia solidária. Durante os processos de pré incubação, o Núcleo atuará em consonância com pesquisadores do IFMT e outras Instituiçoes, objetivando o assessoramento aos empreendimentos para o desenvolvimento de tecnologias e serviços inovadores, promovendo a interface ensino-pesquisa-extensão-inovação, resultando em reconhecimento Institucional.</w:t>
      </w:r>
    </w:p>
    <w:p>
      <w:pPr>
        <w:pStyle w:val="Normal"/>
        <w:suppressAutoHyphens w:val="true"/>
        <w:spacing w:lineRule="auto" w:line="240" w:before="0" w:after="113"/>
        <w:jc w:val="both"/>
        <w:rPr>
          <w:rFonts w:ascii="Arial" w:hAnsi="Arial" w:eastAsia="Arial" w:cs="Arial"/>
          <w:b/>
          <w:b/>
          <w:color w:val="000000"/>
          <w:sz w:val="20"/>
          <w:shd w:fill="FFFFFF" w:val="clear"/>
        </w:rPr>
      </w:pPr>
      <w:r>
        <w:rPr>
          <w:rFonts w:eastAsia="Arial" w:cs="Arial" w:ascii="Arial" w:hAnsi="Arial"/>
          <w:b/>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shd w:fill="FFFFFF" w:val="clear"/>
        </w:rPr>
      </w:pPr>
      <w:r>
        <w:rPr>
          <w:rFonts w:eastAsia="Arial" w:cs="Arial" w:ascii="Arial" w:hAnsi="Arial"/>
          <w:b/>
          <w:color w:val="000000"/>
          <w:sz w:val="20"/>
          <w:shd w:fill="FFFFFF" w:val="clear"/>
        </w:rPr>
      </w:r>
    </w:p>
    <w:p>
      <w:pPr>
        <w:pStyle w:val="Normal"/>
        <w:suppressAutoHyphens w:val="true"/>
        <w:spacing w:lineRule="auto" w:line="240" w:before="0" w:after="113"/>
        <w:jc w:val="both"/>
        <w:rPr>
          <w:rFonts w:ascii="Arial" w:hAnsi="Arial" w:eastAsia="Arial" w:cs="Arial"/>
          <w:b/>
          <w:b/>
          <w:color w:val="000000"/>
          <w:sz w:val="20"/>
          <w:highlight w:val="white"/>
        </w:rPr>
      </w:pPr>
      <w:bookmarkStart w:id="0" w:name="_GoBack"/>
      <w:bookmarkEnd w:id="0"/>
      <w:r>
        <w:rPr>
          <w:rFonts w:eastAsia="Arial" w:cs="Arial" w:ascii="Arial" w:hAnsi="Arial"/>
          <w:b/>
          <w:color w:val="000000"/>
          <w:sz w:val="20"/>
          <w:shd w:fill="FFFFFF" w:val="clear"/>
        </w:rPr>
        <w:t>6. Anexos:</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a) Declaração de compatibilidade de horário do responsável pela Gerência Local. A pessoa designada para a Gerência Local deve pertencer ao quadro efetivo de servidores do IFMT e dedicar, no mínimo, 10 (dez) horas semanais para o desenvolvimento das atividades.</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b) Portaria de nomeação do Gerente Local.</w:t>
      </w:r>
    </w:p>
    <w:p>
      <w:pPr>
        <w:pStyle w:val="Normal"/>
        <w:suppressAutoHyphens w:val="true"/>
        <w:spacing w:lineRule="auto" w:line="240" w:before="0" w:after="113"/>
        <w:jc w:val="both"/>
        <w:rPr>
          <w:rFonts w:ascii="Arial" w:hAnsi="Arial" w:eastAsia="Arial" w:cs="Arial"/>
          <w:color w:val="000000"/>
          <w:sz w:val="20"/>
          <w:highlight w:val="white"/>
        </w:rPr>
      </w:pPr>
      <w:r>
        <w:rPr>
          <w:rFonts w:eastAsia="Arial" w:cs="Arial" w:ascii="Arial" w:hAnsi="Arial"/>
          <w:color w:val="000000"/>
          <w:sz w:val="20"/>
          <w:shd w:fill="FFFFFF" w:val="clear"/>
        </w:rPr>
        <w:t>c) Portaria de nomeação da Comissão Técnica (nomes).</w:t>
      </w:r>
    </w:p>
    <w:p>
      <w:pPr>
        <w:pStyle w:val="Normal"/>
        <w:suppressAutoHyphens w:val="true"/>
        <w:spacing w:lineRule="auto" w:line="240" w:before="0" w:after="113"/>
        <w:jc w:val="both"/>
        <w:rPr/>
      </w:pPr>
      <w:r>
        <w:rPr>
          <w:rFonts w:eastAsia="Arial" w:cs="Arial" w:ascii="Arial" w:hAnsi="Arial"/>
          <w:color w:val="000000"/>
          <w:sz w:val="20"/>
          <w:shd w:fill="FFFFFF" w:val="clear"/>
        </w:rPr>
        <w:t>d) Portaria de nomeação do Conselho Gestor (nomes).</w:t>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pt-BR" w:eastAsia="pt-BR" w:bidi="ar-SA"/>
    </w:rPr>
  </w:style>
  <w:style w:type="character" w:styleId="DefaultParagraphFont" w:default="1">
    <w:name w:val="Default Paragraph Font"/>
    <w:uiPriority w:val="1"/>
    <w:semiHidden/>
    <w:unhideWhenUsed/>
    <w:qFormat/>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LibreOffice/5.3.4.2$Windows_x86 LibreOffice_project/f82d347ccc0be322489bf7da61d7e4ad13fe2ff3</Application>
  <Pages>3</Pages>
  <Words>874</Words>
  <Characters>5124</Characters>
  <CharactersWithSpaces>6025</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2017-11-14T19:48:00Z</dcterms:created>
  <dc:creator>Lea Paula Vanessa Xavier Correa de Morais</dc:creator>
  <dc:description/>
  <dc:language>pt-BR</dc:language>
  <cp:lastModifiedBy/>
  <dcterms:modified xsi:type="dcterms:W3CDTF">2019-01-16T09:10:08Z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