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980" w:rsidRDefault="00093980">
      <w:pPr>
        <w:rPr>
          <w:lang w:eastAsia="en-US"/>
        </w:rPr>
      </w:pPr>
    </w:p>
    <w:p w:rsidR="00093980" w:rsidRDefault="00C13335">
      <w:pPr>
        <w:pStyle w:val="Standard"/>
        <w:jc w:val="center"/>
      </w:pPr>
      <w:r>
        <w:rPr>
          <w:noProof/>
        </w:rPr>
        <w:drawing>
          <wp:inline distT="0" distB="0" distL="0" distR="0">
            <wp:extent cx="665480" cy="619760"/>
            <wp:effectExtent l="0" t="0" r="750" b="8730"/>
            <wp:docPr id="1" name="Figura1"/>
            <wp:cNvGraphicFramePr/>
            <a:graphic xmlns:a="http://schemas.openxmlformats.org/drawingml/2006/main">
              <a:graphicData uri="http://schemas.openxmlformats.org/drawingml/2006/picture">
                <pic:pic xmlns:pic="http://schemas.openxmlformats.org/drawingml/2006/picture">
                  <pic:nvPicPr>
                    <pic:cNvPr id="1" name="Figura1"/>
                    <pic:cNvPicPr/>
                  </pic:nvPicPr>
                  <pic:blipFill>
                    <a:blip r:embed="rId13">
                      <a:lum/>
                    </a:blip>
                    <a:srcRect/>
                    <a:stretch>
                      <a:fillRect/>
                    </a:stretch>
                  </pic:blipFill>
                  <pic:spPr>
                    <a:xfrm>
                      <a:off x="0" y="0"/>
                      <a:ext cx="666000" cy="619920"/>
                    </a:xfrm>
                    <a:prstGeom prst="rect">
                      <a:avLst/>
                    </a:prstGeom>
                    <a:ln>
                      <a:noFill/>
                      <a:prstDash val="solid"/>
                    </a:ln>
                  </pic:spPr>
                </pic:pic>
              </a:graphicData>
            </a:graphic>
          </wp:inline>
        </w:drawing>
      </w:r>
    </w:p>
    <w:p w:rsidR="00093980" w:rsidRDefault="00C13335">
      <w:pPr>
        <w:pStyle w:val="Standard"/>
        <w:jc w:val="center"/>
        <w:rPr>
          <w:rFonts w:ascii="Calibri" w:hAnsi="Calibri" w:cs="Calibri"/>
          <w:b/>
          <w:bCs/>
          <w:sz w:val="22"/>
          <w:szCs w:val="22"/>
        </w:rPr>
      </w:pPr>
      <w:r>
        <w:rPr>
          <w:rFonts w:ascii="Calibri" w:hAnsi="Calibri" w:cs="Calibri"/>
          <w:b/>
          <w:bCs/>
          <w:sz w:val="22"/>
          <w:szCs w:val="22"/>
        </w:rPr>
        <w:t>SERVIÇO PÚBLICO FEDERAL</w:t>
      </w:r>
    </w:p>
    <w:p w:rsidR="00093980" w:rsidRDefault="00C13335">
      <w:pPr>
        <w:pStyle w:val="Standard"/>
        <w:jc w:val="center"/>
        <w:rPr>
          <w:rFonts w:ascii="Calibri" w:hAnsi="Calibri" w:cs="Calibri"/>
          <w:b/>
          <w:bCs/>
          <w:sz w:val="22"/>
          <w:szCs w:val="22"/>
        </w:rPr>
      </w:pPr>
      <w:r>
        <w:rPr>
          <w:rFonts w:ascii="Calibri" w:hAnsi="Calibri" w:cs="Calibri"/>
          <w:b/>
          <w:bCs/>
          <w:sz w:val="22"/>
          <w:szCs w:val="22"/>
        </w:rPr>
        <w:t>MEC - SETEC</w:t>
      </w:r>
    </w:p>
    <w:p w:rsidR="00093980" w:rsidRDefault="00C13335">
      <w:pPr>
        <w:pStyle w:val="Standard"/>
        <w:jc w:val="center"/>
        <w:rPr>
          <w:rFonts w:ascii="Calibri" w:hAnsi="Calibri" w:cs="Calibri"/>
          <w:b/>
          <w:bCs/>
          <w:sz w:val="22"/>
          <w:szCs w:val="22"/>
        </w:rPr>
      </w:pPr>
      <w:r>
        <w:rPr>
          <w:rFonts w:ascii="Calibri" w:hAnsi="Calibri" w:cs="Calibri"/>
          <w:b/>
          <w:bCs/>
          <w:sz w:val="22"/>
          <w:szCs w:val="22"/>
        </w:rPr>
        <w:t xml:space="preserve">INSTITUTO FEDERAL DE EDUCAÇÃO, CIÊNCIA E TECNOLOGIA DE MATO </w:t>
      </w:r>
      <w:proofErr w:type="gramStart"/>
      <w:r>
        <w:rPr>
          <w:rFonts w:ascii="Calibri" w:hAnsi="Calibri" w:cs="Calibri"/>
          <w:b/>
          <w:bCs/>
          <w:sz w:val="22"/>
          <w:szCs w:val="22"/>
        </w:rPr>
        <w:t>GROSSO</w:t>
      </w:r>
      <w:proofErr w:type="gramEnd"/>
    </w:p>
    <w:p w:rsidR="00093980" w:rsidRDefault="00C13335">
      <w:pPr>
        <w:pStyle w:val="Standard"/>
        <w:jc w:val="center"/>
        <w:rPr>
          <w:rFonts w:ascii="Calibri" w:hAnsi="Calibri" w:cs="Calibri"/>
          <w:b/>
          <w:bCs/>
          <w:sz w:val="22"/>
          <w:szCs w:val="22"/>
        </w:rPr>
      </w:pPr>
      <w:r>
        <w:rPr>
          <w:rFonts w:ascii="Calibri" w:hAnsi="Calibri" w:cs="Calibri"/>
          <w:b/>
          <w:bCs/>
          <w:sz w:val="22"/>
          <w:szCs w:val="22"/>
        </w:rPr>
        <w:t>CAMPUS CONFRESA</w:t>
      </w:r>
    </w:p>
    <w:p w:rsidR="00093980" w:rsidRDefault="00C13335">
      <w:pPr>
        <w:pStyle w:val="Standard"/>
        <w:jc w:val="center"/>
        <w:rPr>
          <w:rFonts w:ascii="Calibri" w:hAnsi="Calibri" w:cs="Calibri"/>
          <w:b/>
          <w:bCs/>
          <w:sz w:val="22"/>
          <w:szCs w:val="22"/>
        </w:rPr>
      </w:pPr>
      <w:r>
        <w:rPr>
          <w:rFonts w:ascii="Calibri" w:hAnsi="Calibri" w:cs="Calibri"/>
          <w:b/>
          <w:bCs/>
          <w:sz w:val="22"/>
          <w:szCs w:val="22"/>
        </w:rPr>
        <w:t>Diretoria de Administração e Planejamento</w:t>
      </w:r>
    </w:p>
    <w:p w:rsidR="00093980" w:rsidRDefault="00093980">
      <w:pPr>
        <w:jc w:val="center"/>
        <w:rPr>
          <w:rFonts w:cs="Arial"/>
          <w:b/>
          <w:bCs/>
          <w:color w:val="000000"/>
          <w:szCs w:val="20"/>
        </w:rPr>
      </w:pPr>
    </w:p>
    <w:p w:rsidR="00093980" w:rsidRPr="003078E5" w:rsidRDefault="00C13335">
      <w:pPr>
        <w:jc w:val="center"/>
        <w:rPr>
          <w:rFonts w:cs="Arial"/>
          <w:b/>
          <w:bCs/>
          <w:color w:val="000000" w:themeColor="text1"/>
          <w:sz w:val="24"/>
          <w:szCs w:val="20"/>
        </w:rPr>
      </w:pPr>
      <w:r w:rsidRPr="003078E5">
        <w:rPr>
          <w:rFonts w:cs="Arial"/>
          <w:b/>
          <w:bCs/>
          <w:color w:val="000000" w:themeColor="text1"/>
          <w:sz w:val="24"/>
          <w:szCs w:val="20"/>
        </w:rPr>
        <w:t>ANEXO I</w:t>
      </w:r>
    </w:p>
    <w:p w:rsidR="00093980" w:rsidRPr="003078E5" w:rsidRDefault="00093980">
      <w:pPr>
        <w:jc w:val="center"/>
        <w:rPr>
          <w:rFonts w:cs="Arial"/>
          <w:b/>
          <w:bCs/>
          <w:color w:val="000000" w:themeColor="text1"/>
          <w:sz w:val="24"/>
          <w:szCs w:val="20"/>
        </w:rPr>
      </w:pPr>
    </w:p>
    <w:p w:rsidR="00093980" w:rsidRPr="003078E5" w:rsidRDefault="00C13335">
      <w:pPr>
        <w:jc w:val="center"/>
        <w:rPr>
          <w:rFonts w:cs="Arial"/>
          <w:b/>
          <w:bCs/>
          <w:color w:val="000000" w:themeColor="text1"/>
          <w:sz w:val="24"/>
          <w:szCs w:val="20"/>
        </w:rPr>
      </w:pPr>
      <w:r w:rsidRPr="003078E5">
        <w:rPr>
          <w:rFonts w:cs="Arial"/>
          <w:b/>
          <w:bCs/>
          <w:color w:val="000000" w:themeColor="text1"/>
          <w:sz w:val="24"/>
          <w:szCs w:val="20"/>
        </w:rPr>
        <w:t>TERMO DE REFERÊNCIA</w:t>
      </w:r>
    </w:p>
    <w:p w:rsidR="00093980" w:rsidRDefault="00093980">
      <w:pPr>
        <w:jc w:val="center"/>
        <w:rPr>
          <w:rFonts w:cs="Arial"/>
          <w:b/>
          <w:bCs/>
          <w:i/>
          <w:color w:val="FF0000"/>
          <w:szCs w:val="20"/>
        </w:rPr>
      </w:pPr>
    </w:p>
    <w:p w:rsidR="00093980" w:rsidRDefault="00093980">
      <w:pPr>
        <w:jc w:val="center"/>
        <w:rPr>
          <w:rFonts w:cs="Arial"/>
          <w:b/>
          <w:bCs/>
          <w:i/>
          <w:color w:val="FF0000"/>
          <w:szCs w:val="20"/>
        </w:rPr>
      </w:pPr>
    </w:p>
    <w:p w:rsidR="00093980" w:rsidRDefault="00C13335">
      <w:pPr>
        <w:jc w:val="center"/>
        <w:rPr>
          <w:rFonts w:cs="Arial"/>
          <w:b/>
          <w:bCs/>
          <w:color w:val="000000"/>
          <w:szCs w:val="20"/>
        </w:rPr>
      </w:pPr>
      <w:r>
        <w:rPr>
          <w:rFonts w:cs="Arial"/>
          <w:b/>
          <w:bCs/>
          <w:color w:val="000000"/>
          <w:szCs w:val="20"/>
        </w:rPr>
        <w:t xml:space="preserve">PREGÃO ELETRÔNICO </w:t>
      </w:r>
      <w:r>
        <w:rPr>
          <w:rFonts w:cs="Arial"/>
          <w:b/>
          <w:bCs/>
          <w:szCs w:val="20"/>
        </w:rPr>
        <w:t xml:space="preserve">SRP </w:t>
      </w:r>
      <w:r>
        <w:rPr>
          <w:rFonts w:cs="Arial"/>
          <w:b/>
          <w:bCs/>
          <w:color w:val="000000"/>
          <w:szCs w:val="20"/>
        </w:rPr>
        <w:t>Nº 03/2019</w:t>
      </w:r>
    </w:p>
    <w:p w:rsidR="00093980" w:rsidRDefault="00C13335">
      <w:pPr>
        <w:jc w:val="center"/>
        <w:rPr>
          <w:rFonts w:cs="Arial"/>
          <w:bCs/>
          <w:color w:val="000000"/>
          <w:szCs w:val="20"/>
        </w:rPr>
      </w:pPr>
      <w:r>
        <w:rPr>
          <w:rFonts w:cs="Arial"/>
          <w:bCs/>
          <w:color w:val="000000"/>
          <w:szCs w:val="20"/>
        </w:rPr>
        <w:t>(Processo Administrativo n.°23193.000042.2019-44)</w:t>
      </w:r>
    </w:p>
    <w:p w:rsidR="00093980" w:rsidRDefault="00093980">
      <w:pPr>
        <w:spacing w:after="120"/>
        <w:ind w:right="-15"/>
        <w:jc w:val="center"/>
        <w:rPr>
          <w:rFonts w:cs="Arial"/>
          <w:b/>
          <w:bCs/>
          <w:color w:val="000000"/>
          <w:szCs w:val="20"/>
        </w:rPr>
      </w:pPr>
    </w:p>
    <w:p w:rsidR="00093980" w:rsidRDefault="00C13335">
      <w:pPr>
        <w:pStyle w:val="Nivel1"/>
      </w:pPr>
      <w:r>
        <w:t>DO OBJETO</w:t>
      </w:r>
    </w:p>
    <w:p w:rsidR="00093980" w:rsidRDefault="00C13335">
      <w:pPr>
        <w:numPr>
          <w:ilvl w:val="1"/>
          <w:numId w:val="2"/>
        </w:numPr>
        <w:spacing w:before="120" w:after="120"/>
        <w:ind w:left="425" w:firstLine="0"/>
        <w:jc w:val="both"/>
        <w:rPr>
          <w:rFonts w:cs="Arial"/>
          <w:b/>
          <w:i/>
          <w:szCs w:val="20"/>
        </w:rPr>
      </w:pPr>
      <w:r>
        <w:rPr>
          <w:rFonts w:cs="Arial"/>
          <w:i/>
          <w:szCs w:val="20"/>
        </w:rPr>
        <w:t xml:space="preserve">Aquisição </w:t>
      </w:r>
      <w:proofErr w:type="gramStart"/>
      <w:r>
        <w:rPr>
          <w:rFonts w:cs="Arial"/>
          <w:i/>
          <w:szCs w:val="20"/>
        </w:rPr>
        <w:t xml:space="preserve">de </w:t>
      </w:r>
      <w:proofErr w:type="spellStart"/>
      <w:r>
        <w:rPr>
          <w:rFonts w:cs="Arial"/>
          <w:i/>
          <w:szCs w:val="20"/>
        </w:rPr>
        <w:t>de</w:t>
      </w:r>
      <w:proofErr w:type="spellEnd"/>
      <w:proofErr w:type="gramEnd"/>
      <w:r>
        <w:rPr>
          <w:rFonts w:cs="Arial"/>
          <w:i/>
          <w:szCs w:val="20"/>
        </w:rPr>
        <w:t xml:space="preserve"> Gás Liquefeito de Petróleo – GLP para os campi e reitoria do IFMT</w:t>
      </w:r>
      <w:r>
        <w:rPr>
          <w:rFonts w:cs="Arial"/>
          <w:b/>
          <w:i/>
          <w:szCs w:val="20"/>
        </w:rPr>
        <w:t>,</w:t>
      </w:r>
      <w:r>
        <w:rPr>
          <w:rFonts w:cs="Arial"/>
          <w:i/>
          <w:szCs w:val="20"/>
        </w:rPr>
        <w:t xml:space="preserve"> conforme condições, quantidades e exigências estabelecidas neste instrumento:</w:t>
      </w:r>
    </w:p>
    <w:p w:rsidR="00093980" w:rsidRDefault="00093980">
      <w:pPr>
        <w:spacing w:before="120" w:after="120"/>
        <w:ind w:left="425"/>
        <w:jc w:val="both"/>
        <w:rPr>
          <w:rFonts w:cs="Arial"/>
          <w:b/>
          <w:i/>
          <w:szCs w:val="20"/>
        </w:rPr>
      </w:pPr>
    </w:p>
    <w:tbl>
      <w:tblPr>
        <w:tblW w:w="11624" w:type="dxa"/>
        <w:tblInd w:w="-1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25"/>
        <w:gridCol w:w="142"/>
        <w:gridCol w:w="425"/>
        <w:gridCol w:w="2411"/>
        <w:gridCol w:w="425"/>
        <w:gridCol w:w="709"/>
        <w:gridCol w:w="425"/>
        <w:gridCol w:w="425"/>
        <w:gridCol w:w="425"/>
        <w:gridCol w:w="426"/>
        <w:gridCol w:w="425"/>
        <w:gridCol w:w="850"/>
        <w:gridCol w:w="851"/>
        <w:gridCol w:w="425"/>
        <w:gridCol w:w="851"/>
        <w:gridCol w:w="1133"/>
        <w:gridCol w:w="851"/>
      </w:tblGrid>
      <w:tr w:rsidR="00093980" w:rsidTr="00D46635">
        <w:trPr>
          <w:gridAfter w:val="1"/>
          <w:wAfter w:w="851" w:type="dxa"/>
          <w:trHeight w:val="1002"/>
        </w:trPr>
        <w:tc>
          <w:tcPr>
            <w:tcW w:w="567" w:type="dxa"/>
            <w:gridSpan w:val="2"/>
          </w:tcPr>
          <w:p w:rsidR="00093980" w:rsidRDefault="00C13335">
            <w:pPr>
              <w:widowControl w:val="0"/>
              <w:suppressAutoHyphens/>
              <w:jc w:val="center"/>
              <w:rPr>
                <w:rFonts w:cs="Arial"/>
                <w:b/>
                <w:bCs/>
                <w:color w:val="000000"/>
                <w:sz w:val="16"/>
                <w:szCs w:val="16"/>
              </w:rPr>
            </w:pPr>
            <w:r>
              <w:rPr>
                <w:rFonts w:cs="Arial"/>
                <w:b/>
                <w:bCs/>
                <w:color w:val="000000"/>
                <w:sz w:val="16"/>
                <w:szCs w:val="16"/>
              </w:rPr>
              <w:t>ITEM</w:t>
            </w:r>
          </w:p>
          <w:p w:rsidR="00093980" w:rsidRDefault="00093980">
            <w:pPr>
              <w:widowControl w:val="0"/>
              <w:suppressAutoHyphens/>
              <w:jc w:val="center"/>
              <w:rPr>
                <w:rFonts w:cs="Arial"/>
                <w:b/>
                <w:color w:val="000000"/>
                <w:sz w:val="16"/>
                <w:szCs w:val="16"/>
              </w:rPr>
            </w:pPr>
          </w:p>
        </w:tc>
        <w:tc>
          <w:tcPr>
            <w:tcW w:w="2836" w:type="dxa"/>
            <w:gridSpan w:val="2"/>
          </w:tcPr>
          <w:p w:rsidR="00093980" w:rsidRDefault="00C13335">
            <w:pPr>
              <w:jc w:val="center"/>
              <w:rPr>
                <w:rFonts w:cs="Arial"/>
                <w:b/>
                <w:bCs/>
                <w:color w:val="000000"/>
                <w:sz w:val="16"/>
                <w:szCs w:val="16"/>
              </w:rPr>
            </w:pPr>
            <w:r>
              <w:rPr>
                <w:rFonts w:cs="Arial"/>
                <w:b/>
                <w:bCs/>
                <w:color w:val="000000"/>
                <w:sz w:val="16"/>
                <w:szCs w:val="16"/>
              </w:rPr>
              <w:t>DESCRIÇÃO/ ESPECIF.</w:t>
            </w:r>
          </w:p>
        </w:tc>
        <w:tc>
          <w:tcPr>
            <w:tcW w:w="1134" w:type="dxa"/>
            <w:gridSpan w:val="2"/>
          </w:tcPr>
          <w:p w:rsidR="00093980" w:rsidRDefault="00C13335">
            <w:pPr>
              <w:widowControl w:val="0"/>
              <w:suppressAutoHyphens/>
              <w:jc w:val="center"/>
              <w:rPr>
                <w:rFonts w:cs="Arial"/>
                <w:color w:val="000000"/>
                <w:sz w:val="16"/>
                <w:szCs w:val="16"/>
              </w:rPr>
            </w:pPr>
            <w:r>
              <w:rPr>
                <w:rFonts w:cs="Arial"/>
                <w:b/>
                <w:bCs/>
                <w:sz w:val="16"/>
                <w:szCs w:val="16"/>
              </w:rPr>
              <w:t xml:space="preserve">CÓD. </w:t>
            </w:r>
            <w:r>
              <w:rPr>
                <w:rFonts w:cs="Arial"/>
                <w:b/>
                <w:bCs/>
                <w:color w:val="000000"/>
                <w:sz w:val="16"/>
                <w:szCs w:val="16"/>
              </w:rPr>
              <w:t>CATMAT</w:t>
            </w:r>
          </w:p>
        </w:tc>
        <w:tc>
          <w:tcPr>
            <w:tcW w:w="850" w:type="dxa"/>
            <w:gridSpan w:val="2"/>
          </w:tcPr>
          <w:p w:rsidR="00093980" w:rsidRDefault="00C13335">
            <w:pPr>
              <w:widowControl w:val="0"/>
              <w:suppressAutoHyphens/>
              <w:jc w:val="center"/>
              <w:rPr>
                <w:rFonts w:cs="Arial"/>
                <w:b/>
                <w:bCs/>
                <w:color w:val="000000"/>
                <w:sz w:val="16"/>
                <w:szCs w:val="16"/>
              </w:rPr>
            </w:pPr>
            <w:r>
              <w:rPr>
                <w:rFonts w:cs="Arial"/>
                <w:b/>
                <w:bCs/>
                <w:color w:val="000000"/>
                <w:sz w:val="16"/>
                <w:szCs w:val="16"/>
              </w:rPr>
              <w:t>UNIDADE</w:t>
            </w:r>
          </w:p>
          <w:p w:rsidR="00093980" w:rsidRDefault="00C13335">
            <w:pPr>
              <w:widowControl w:val="0"/>
              <w:suppressAutoHyphens/>
              <w:jc w:val="center"/>
              <w:rPr>
                <w:rFonts w:cs="Arial"/>
                <w:b/>
                <w:bCs/>
                <w:color w:val="000000"/>
                <w:sz w:val="16"/>
                <w:szCs w:val="16"/>
              </w:rPr>
            </w:pPr>
            <w:r>
              <w:rPr>
                <w:rFonts w:cs="Arial"/>
                <w:b/>
                <w:bCs/>
                <w:color w:val="000000"/>
                <w:sz w:val="16"/>
                <w:szCs w:val="16"/>
              </w:rPr>
              <w:t>DE</w:t>
            </w:r>
          </w:p>
          <w:p w:rsidR="00093980" w:rsidRDefault="00C13335">
            <w:pPr>
              <w:widowControl w:val="0"/>
              <w:suppressAutoHyphens/>
              <w:jc w:val="center"/>
              <w:rPr>
                <w:rFonts w:cs="Arial"/>
                <w:color w:val="000000"/>
                <w:sz w:val="16"/>
                <w:szCs w:val="16"/>
              </w:rPr>
            </w:pPr>
            <w:r>
              <w:rPr>
                <w:rFonts w:cs="Arial"/>
                <w:b/>
                <w:bCs/>
                <w:color w:val="000000"/>
                <w:sz w:val="16"/>
                <w:szCs w:val="16"/>
              </w:rPr>
              <w:t>MEDIDA</w:t>
            </w:r>
          </w:p>
        </w:tc>
        <w:tc>
          <w:tcPr>
            <w:tcW w:w="851" w:type="dxa"/>
            <w:gridSpan w:val="2"/>
          </w:tcPr>
          <w:p w:rsidR="00093980" w:rsidRDefault="00C13335">
            <w:pPr>
              <w:widowControl w:val="0"/>
              <w:suppressAutoHyphens/>
              <w:jc w:val="center"/>
              <w:rPr>
                <w:rFonts w:cs="Arial"/>
                <w:b/>
                <w:sz w:val="16"/>
                <w:szCs w:val="16"/>
              </w:rPr>
            </w:pPr>
            <w:r>
              <w:rPr>
                <w:rFonts w:cs="Arial"/>
                <w:b/>
                <w:sz w:val="16"/>
                <w:szCs w:val="16"/>
              </w:rPr>
              <w:t>REQUISIÇÃO</w:t>
            </w:r>
          </w:p>
          <w:p w:rsidR="00093980" w:rsidRDefault="00C13335">
            <w:pPr>
              <w:widowControl w:val="0"/>
              <w:suppressAutoHyphens/>
              <w:jc w:val="center"/>
              <w:rPr>
                <w:rFonts w:cs="Arial"/>
                <w:b/>
                <w:sz w:val="16"/>
                <w:szCs w:val="16"/>
              </w:rPr>
            </w:pPr>
            <w:r>
              <w:rPr>
                <w:rFonts w:cs="Arial"/>
                <w:b/>
                <w:sz w:val="16"/>
                <w:szCs w:val="16"/>
              </w:rPr>
              <w:t>MÍNIMA</w:t>
            </w:r>
          </w:p>
        </w:tc>
        <w:tc>
          <w:tcPr>
            <w:tcW w:w="1275" w:type="dxa"/>
            <w:gridSpan w:val="2"/>
          </w:tcPr>
          <w:p w:rsidR="00093980" w:rsidRDefault="00C13335">
            <w:pPr>
              <w:widowControl w:val="0"/>
              <w:suppressAutoHyphens/>
              <w:jc w:val="center"/>
              <w:rPr>
                <w:rFonts w:cs="Arial"/>
                <w:b/>
                <w:bCs/>
                <w:sz w:val="16"/>
                <w:szCs w:val="16"/>
              </w:rPr>
            </w:pPr>
            <w:r>
              <w:rPr>
                <w:rFonts w:cs="Arial"/>
                <w:b/>
                <w:bCs/>
                <w:sz w:val="16"/>
                <w:szCs w:val="16"/>
              </w:rPr>
              <w:t>QUANTIDADE</w:t>
            </w:r>
          </w:p>
          <w:p w:rsidR="00093980" w:rsidRDefault="00C13335">
            <w:pPr>
              <w:widowControl w:val="0"/>
              <w:suppressAutoHyphens/>
              <w:jc w:val="center"/>
              <w:rPr>
                <w:rFonts w:cs="Arial"/>
                <w:sz w:val="16"/>
                <w:szCs w:val="16"/>
              </w:rPr>
            </w:pPr>
            <w:r>
              <w:rPr>
                <w:rFonts w:cs="Arial"/>
                <w:b/>
                <w:bCs/>
                <w:sz w:val="16"/>
                <w:szCs w:val="16"/>
              </w:rPr>
              <w:t>TOTAL</w:t>
            </w:r>
          </w:p>
        </w:tc>
        <w:tc>
          <w:tcPr>
            <w:tcW w:w="1276" w:type="dxa"/>
            <w:gridSpan w:val="2"/>
          </w:tcPr>
          <w:p w:rsidR="00093980" w:rsidRDefault="00C13335">
            <w:pPr>
              <w:widowControl w:val="0"/>
              <w:suppressAutoHyphens/>
              <w:jc w:val="center"/>
              <w:rPr>
                <w:rFonts w:cs="Arial"/>
                <w:b/>
                <w:bCs/>
                <w:i/>
                <w:sz w:val="16"/>
                <w:szCs w:val="16"/>
              </w:rPr>
            </w:pPr>
            <w:r>
              <w:rPr>
                <w:rFonts w:cs="Arial"/>
                <w:b/>
                <w:bCs/>
                <w:i/>
                <w:sz w:val="16"/>
                <w:szCs w:val="16"/>
              </w:rPr>
              <w:t>VALOR UNITÁRIO</w:t>
            </w:r>
          </w:p>
        </w:tc>
        <w:tc>
          <w:tcPr>
            <w:tcW w:w="1984" w:type="dxa"/>
            <w:gridSpan w:val="2"/>
          </w:tcPr>
          <w:p w:rsidR="00093980" w:rsidRDefault="00C13335">
            <w:pPr>
              <w:widowControl w:val="0"/>
              <w:suppressAutoHyphens/>
              <w:jc w:val="center"/>
              <w:rPr>
                <w:rFonts w:cs="Arial"/>
                <w:b/>
                <w:bCs/>
                <w:i/>
                <w:color w:val="FF0000"/>
                <w:sz w:val="16"/>
                <w:szCs w:val="16"/>
              </w:rPr>
            </w:pPr>
            <w:r>
              <w:rPr>
                <w:rFonts w:cs="Arial"/>
                <w:b/>
                <w:bCs/>
                <w:i/>
                <w:sz w:val="16"/>
                <w:szCs w:val="16"/>
              </w:rPr>
              <w:t>VALOR MÁXIMO ACEITÁVEL</w:t>
            </w:r>
          </w:p>
        </w:tc>
      </w:tr>
      <w:tr w:rsidR="00093980" w:rsidTr="00D46635">
        <w:trPr>
          <w:gridBefore w:val="1"/>
          <w:wBefore w:w="425" w:type="dxa"/>
          <w:trHeight w:val="2617"/>
        </w:trPr>
        <w:tc>
          <w:tcPr>
            <w:tcW w:w="567" w:type="dxa"/>
            <w:gridSpan w:val="2"/>
          </w:tcPr>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C13335" w:rsidP="00D46635">
            <w:pPr>
              <w:widowControl w:val="0"/>
              <w:suppressAutoHyphens/>
              <w:spacing w:after="120"/>
              <w:ind w:left="255"/>
              <w:jc w:val="center"/>
              <w:rPr>
                <w:rFonts w:cs="Arial"/>
                <w:b/>
                <w:color w:val="000000"/>
                <w:sz w:val="16"/>
                <w:szCs w:val="16"/>
              </w:rPr>
            </w:pPr>
            <w:proofErr w:type="gramStart"/>
            <w:r>
              <w:rPr>
                <w:rFonts w:cs="Arial"/>
                <w:b/>
                <w:color w:val="000000"/>
                <w:sz w:val="16"/>
                <w:szCs w:val="16"/>
              </w:rPr>
              <w:t>1</w:t>
            </w:r>
            <w:proofErr w:type="gramEnd"/>
          </w:p>
        </w:tc>
        <w:tc>
          <w:tcPr>
            <w:tcW w:w="2836" w:type="dxa"/>
            <w:gridSpan w:val="2"/>
          </w:tcPr>
          <w:p w:rsidR="00093980" w:rsidRDefault="00C13335" w:rsidP="003078E5">
            <w:pPr>
              <w:widowControl w:val="0"/>
              <w:suppressAutoHyphens/>
              <w:spacing w:after="120"/>
              <w:ind w:left="-28"/>
              <w:jc w:val="both"/>
              <w:rPr>
                <w:rFonts w:cs="Arial"/>
                <w:color w:val="000000"/>
                <w:sz w:val="16"/>
                <w:szCs w:val="16"/>
              </w:rPr>
            </w:pPr>
            <w:r>
              <w:rPr>
                <w:b/>
                <w:sz w:val="16"/>
                <w:szCs w:val="16"/>
              </w:rPr>
              <w:t>Gás liquefeito de petróleo (GLP P13), botijão com 13 kg</w:t>
            </w:r>
            <w:r>
              <w:rPr>
                <w:sz w:val="16"/>
                <w:szCs w:val="16"/>
              </w:rPr>
              <w:t xml:space="preserve">, aplicação gás de cozinha, com inscrição em alto relevo com a marca da distribuidora, mês e ano de fabricação, rótulo com instrução de uso, nome, e telefone da distribuidora. Fornecimento do gás a base de troca dos vasilhames, os quais não poderão ser amassados ou enferrujados. Produto em conformidade com as normas de ANP – Agência Nacional do Petróleo e ABNT vigentes.  </w:t>
            </w:r>
          </w:p>
        </w:tc>
        <w:tc>
          <w:tcPr>
            <w:tcW w:w="1134" w:type="dxa"/>
            <w:gridSpan w:val="2"/>
          </w:tcPr>
          <w:p w:rsidR="00093980" w:rsidRDefault="00093980" w:rsidP="003078E5">
            <w:pPr>
              <w:widowControl w:val="0"/>
              <w:suppressAutoHyphens/>
              <w:spacing w:after="120"/>
              <w:ind w:left="-28"/>
              <w:jc w:val="center"/>
              <w:rPr>
                <w:rFonts w:cs="Arial"/>
                <w:color w:val="000000"/>
                <w:sz w:val="16"/>
                <w:szCs w:val="16"/>
              </w:rPr>
            </w:pPr>
          </w:p>
          <w:p w:rsidR="00093980" w:rsidRDefault="00093980" w:rsidP="003078E5">
            <w:pPr>
              <w:widowControl w:val="0"/>
              <w:suppressAutoHyphens/>
              <w:spacing w:after="120"/>
              <w:ind w:left="-28"/>
              <w:jc w:val="center"/>
              <w:rPr>
                <w:rFonts w:cs="Arial"/>
                <w:color w:val="000000"/>
                <w:sz w:val="16"/>
                <w:szCs w:val="16"/>
              </w:rPr>
            </w:pPr>
          </w:p>
          <w:p w:rsidR="00093980" w:rsidRDefault="00093980" w:rsidP="003078E5">
            <w:pPr>
              <w:widowControl w:val="0"/>
              <w:suppressAutoHyphens/>
              <w:spacing w:after="120"/>
              <w:ind w:left="-28"/>
              <w:jc w:val="center"/>
              <w:rPr>
                <w:rFonts w:cs="Arial"/>
                <w:color w:val="000000"/>
                <w:sz w:val="16"/>
                <w:szCs w:val="16"/>
              </w:rPr>
            </w:pPr>
          </w:p>
          <w:p w:rsidR="00093980" w:rsidRDefault="00C13335" w:rsidP="003078E5">
            <w:pPr>
              <w:widowControl w:val="0"/>
              <w:suppressAutoHyphens/>
              <w:spacing w:after="120"/>
              <w:ind w:left="-28"/>
              <w:jc w:val="center"/>
              <w:rPr>
                <w:rFonts w:cs="Arial"/>
                <w:color w:val="000000"/>
                <w:sz w:val="16"/>
                <w:szCs w:val="16"/>
              </w:rPr>
            </w:pPr>
            <w:r>
              <w:rPr>
                <w:rFonts w:cs="Arial"/>
                <w:color w:val="000000"/>
                <w:sz w:val="16"/>
                <w:szCs w:val="16"/>
              </w:rPr>
              <w:t>BR0047678</w:t>
            </w:r>
          </w:p>
        </w:tc>
        <w:tc>
          <w:tcPr>
            <w:tcW w:w="850" w:type="dxa"/>
            <w:gridSpan w:val="2"/>
          </w:tcPr>
          <w:p w:rsidR="00093980" w:rsidRDefault="00093980" w:rsidP="003078E5">
            <w:pPr>
              <w:widowControl w:val="0"/>
              <w:suppressAutoHyphens/>
              <w:spacing w:after="120"/>
              <w:rPr>
                <w:rFonts w:cs="Arial"/>
                <w:color w:val="000000"/>
                <w:sz w:val="16"/>
                <w:szCs w:val="16"/>
              </w:rPr>
            </w:pPr>
          </w:p>
          <w:p w:rsidR="00093980" w:rsidRDefault="00093980" w:rsidP="003078E5">
            <w:pPr>
              <w:widowControl w:val="0"/>
              <w:suppressAutoHyphens/>
              <w:spacing w:after="120"/>
              <w:rPr>
                <w:rFonts w:cs="Arial"/>
                <w:color w:val="000000"/>
                <w:sz w:val="16"/>
                <w:szCs w:val="16"/>
              </w:rPr>
            </w:pPr>
          </w:p>
          <w:p w:rsidR="00093980" w:rsidRDefault="00093980" w:rsidP="003078E5">
            <w:pPr>
              <w:widowControl w:val="0"/>
              <w:suppressAutoHyphens/>
              <w:spacing w:after="120"/>
              <w:rPr>
                <w:rFonts w:cs="Arial"/>
                <w:color w:val="000000"/>
                <w:sz w:val="16"/>
                <w:szCs w:val="16"/>
              </w:rPr>
            </w:pPr>
          </w:p>
          <w:p w:rsidR="00093980" w:rsidRDefault="00C13335" w:rsidP="003078E5">
            <w:pPr>
              <w:widowControl w:val="0"/>
              <w:suppressAutoHyphens/>
              <w:spacing w:after="120"/>
              <w:jc w:val="center"/>
              <w:rPr>
                <w:rFonts w:cs="Arial"/>
                <w:color w:val="000000"/>
                <w:sz w:val="16"/>
                <w:szCs w:val="16"/>
              </w:rPr>
            </w:pPr>
            <w:r>
              <w:rPr>
                <w:sz w:val="18"/>
              </w:rPr>
              <w:t>Botijão com 13 kg</w:t>
            </w:r>
          </w:p>
        </w:tc>
        <w:tc>
          <w:tcPr>
            <w:tcW w:w="851" w:type="dxa"/>
            <w:gridSpan w:val="2"/>
          </w:tcPr>
          <w:p w:rsidR="00093980" w:rsidRDefault="00093980" w:rsidP="00D46635">
            <w:pPr>
              <w:widowControl w:val="0"/>
              <w:suppressAutoHyphens/>
              <w:spacing w:after="120"/>
              <w:ind w:left="255"/>
              <w:rPr>
                <w:b/>
                <w:sz w:val="16"/>
                <w:szCs w:val="16"/>
              </w:rPr>
            </w:pPr>
          </w:p>
          <w:p w:rsidR="00093980" w:rsidRDefault="00093980" w:rsidP="00D46635">
            <w:pPr>
              <w:widowControl w:val="0"/>
              <w:suppressAutoHyphens/>
              <w:spacing w:after="120"/>
              <w:ind w:left="255"/>
              <w:jc w:val="center"/>
              <w:rPr>
                <w:b/>
                <w:sz w:val="16"/>
                <w:szCs w:val="16"/>
              </w:rPr>
            </w:pPr>
          </w:p>
          <w:p w:rsidR="00093980" w:rsidRDefault="00093980" w:rsidP="00D46635">
            <w:pPr>
              <w:widowControl w:val="0"/>
              <w:suppressAutoHyphens/>
              <w:spacing w:after="120"/>
              <w:ind w:left="255"/>
              <w:jc w:val="center"/>
              <w:rPr>
                <w:b/>
                <w:sz w:val="16"/>
                <w:szCs w:val="16"/>
              </w:rPr>
            </w:pPr>
          </w:p>
          <w:p w:rsidR="00093980" w:rsidRDefault="00C13335" w:rsidP="00D46635">
            <w:pPr>
              <w:widowControl w:val="0"/>
              <w:suppressAutoHyphens/>
              <w:spacing w:after="120"/>
              <w:ind w:left="255"/>
              <w:jc w:val="center"/>
              <w:rPr>
                <w:b/>
                <w:sz w:val="16"/>
                <w:szCs w:val="16"/>
              </w:rPr>
            </w:pPr>
            <w:r>
              <w:rPr>
                <w:b/>
                <w:sz w:val="16"/>
                <w:szCs w:val="16"/>
              </w:rPr>
              <w:t>01</w:t>
            </w:r>
          </w:p>
        </w:tc>
        <w:tc>
          <w:tcPr>
            <w:tcW w:w="1701"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B63B7" w:rsidP="00D46635">
            <w:pPr>
              <w:widowControl w:val="0"/>
              <w:suppressAutoHyphens/>
              <w:spacing w:after="120"/>
              <w:ind w:left="255"/>
              <w:jc w:val="center"/>
              <w:rPr>
                <w:rFonts w:cs="Arial"/>
                <w:color w:val="000000"/>
                <w:sz w:val="16"/>
                <w:szCs w:val="16"/>
              </w:rPr>
            </w:pPr>
            <w:r>
              <w:rPr>
                <w:rFonts w:cs="Arial"/>
                <w:color w:val="000000"/>
                <w:sz w:val="16"/>
                <w:szCs w:val="16"/>
              </w:rPr>
              <w:t>555</w:t>
            </w:r>
          </w:p>
        </w:tc>
        <w:tc>
          <w:tcPr>
            <w:tcW w:w="1276"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R$ 94,31</w:t>
            </w:r>
          </w:p>
        </w:tc>
        <w:tc>
          <w:tcPr>
            <w:tcW w:w="1984"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 xml:space="preserve">R$ </w:t>
            </w:r>
            <w:r w:rsidR="000B63B7">
              <w:rPr>
                <w:rFonts w:cs="Arial"/>
                <w:color w:val="000000"/>
                <w:sz w:val="16"/>
                <w:szCs w:val="16"/>
              </w:rPr>
              <w:t>52.342,05</w:t>
            </w:r>
          </w:p>
        </w:tc>
      </w:tr>
      <w:tr w:rsidR="00093980" w:rsidTr="00D46635">
        <w:trPr>
          <w:gridBefore w:val="1"/>
          <w:wBefore w:w="425" w:type="dxa"/>
          <w:trHeight w:val="339"/>
        </w:trPr>
        <w:tc>
          <w:tcPr>
            <w:tcW w:w="567" w:type="dxa"/>
            <w:gridSpan w:val="2"/>
          </w:tcPr>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093980" w:rsidP="00D46635">
            <w:pPr>
              <w:widowControl w:val="0"/>
              <w:suppressAutoHyphens/>
              <w:spacing w:after="120"/>
              <w:ind w:left="255"/>
              <w:jc w:val="center"/>
              <w:rPr>
                <w:rFonts w:cs="Arial"/>
                <w:b/>
                <w:color w:val="000000"/>
                <w:sz w:val="16"/>
                <w:szCs w:val="16"/>
              </w:rPr>
            </w:pPr>
          </w:p>
          <w:p w:rsidR="00093980" w:rsidRDefault="00C13335" w:rsidP="00D46635">
            <w:pPr>
              <w:widowControl w:val="0"/>
              <w:suppressAutoHyphens/>
              <w:spacing w:after="120"/>
              <w:ind w:left="255"/>
              <w:jc w:val="center"/>
              <w:rPr>
                <w:rFonts w:cs="Arial"/>
                <w:b/>
                <w:color w:val="000000"/>
                <w:sz w:val="16"/>
                <w:szCs w:val="16"/>
              </w:rPr>
            </w:pPr>
            <w:proofErr w:type="gramStart"/>
            <w:r>
              <w:rPr>
                <w:rFonts w:cs="Arial"/>
                <w:b/>
                <w:color w:val="000000"/>
                <w:sz w:val="16"/>
                <w:szCs w:val="16"/>
              </w:rPr>
              <w:t>2</w:t>
            </w:r>
            <w:proofErr w:type="gramEnd"/>
          </w:p>
        </w:tc>
        <w:tc>
          <w:tcPr>
            <w:tcW w:w="2836" w:type="dxa"/>
            <w:gridSpan w:val="2"/>
          </w:tcPr>
          <w:p w:rsidR="00093980" w:rsidRDefault="00C13335" w:rsidP="003078E5">
            <w:pPr>
              <w:widowControl w:val="0"/>
              <w:tabs>
                <w:tab w:val="left" w:pos="537"/>
              </w:tabs>
              <w:suppressAutoHyphens/>
              <w:spacing w:after="120"/>
              <w:ind w:left="-28"/>
              <w:jc w:val="both"/>
              <w:rPr>
                <w:rFonts w:cs="Arial"/>
                <w:color w:val="000000"/>
                <w:sz w:val="16"/>
                <w:szCs w:val="16"/>
              </w:rPr>
            </w:pPr>
            <w:r>
              <w:rPr>
                <w:b/>
                <w:sz w:val="16"/>
                <w:szCs w:val="16"/>
              </w:rPr>
              <w:t>Gás liquefeito de petróleo (GLP P45), botijão com 45 kg,</w:t>
            </w:r>
            <w:r>
              <w:rPr>
                <w:sz w:val="16"/>
                <w:szCs w:val="16"/>
              </w:rPr>
              <w:t xml:space="preserve"> aplicação gás de cozinha, com inscrição em alto relevo com a marca da distribuidora, mês e ano de fabricação, rótulo com instrução de uso, nome, e telefone da distribuidora. Fornecimento do </w:t>
            </w:r>
            <w:proofErr w:type="spellStart"/>
            <w:r>
              <w:rPr>
                <w:sz w:val="16"/>
                <w:szCs w:val="16"/>
              </w:rPr>
              <w:t>gas</w:t>
            </w:r>
            <w:proofErr w:type="spellEnd"/>
            <w:r>
              <w:rPr>
                <w:sz w:val="16"/>
                <w:szCs w:val="16"/>
              </w:rPr>
              <w:t xml:space="preserve"> a base de troca dos vasilhames, os quais não poderão estar amassados ou enferrujados. Produto em conformidade com as normas de ANP – Agência Nacional do Petróleo e ABNT vigentes. </w:t>
            </w:r>
          </w:p>
        </w:tc>
        <w:tc>
          <w:tcPr>
            <w:tcW w:w="1134" w:type="dxa"/>
            <w:gridSpan w:val="2"/>
          </w:tcPr>
          <w:p w:rsidR="00093980" w:rsidRDefault="00093980" w:rsidP="003078E5">
            <w:pPr>
              <w:widowControl w:val="0"/>
              <w:suppressAutoHyphens/>
              <w:spacing w:after="120"/>
              <w:ind w:left="-28"/>
              <w:jc w:val="center"/>
              <w:rPr>
                <w:rFonts w:cs="Arial"/>
                <w:color w:val="000000"/>
                <w:sz w:val="16"/>
                <w:szCs w:val="16"/>
              </w:rPr>
            </w:pPr>
          </w:p>
          <w:p w:rsidR="00093980" w:rsidRDefault="00093980" w:rsidP="003078E5">
            <w:pPr>
              <w:widowControl w:val="0"/>
              <w:suppressAutoHyphens/>
              <w:spacing w:after="120"/>
              <w:ind w:left="-28"/>
              <w:jc w:val="center"/>
              <w:rPr>
                <w:rFonts w:cs="Arial"/>
                <w:color w:val="000000"/>
                <w:sz w:val="16"/>
                <w:szCs w:val="16"/>
              </w:rPr>
            </w:pPr>
          </w:p>
          <w:p w:rsidR="00093980" w:rsidRDefault="00093980" w:rsidP="003078E5">
            <w:pPr>
              <w:widowControl w:val="0"/>
              <w:suppressAutoHyphens/>
              <w:spacing w:after="120"/>
              <w:ind w:left="-28"/>
              <w:jc w:val="center"/>
              <w:rPr>
                <w:rFonts w:cs="Arial"/>
                <w:color w:val="000000"/>
                <w:sz w:val="16"/>
                <w:szCs w:val="16"/>
              </w:rPr>
            </w:pPr>
          </w:p>
          <w:p w:rsidR="00093980" w:rsidRDefault="00C13335" w:rsidP="003078E5">
            <w:pPr>
              <w:widowControl w:val="0"/>
              <w:suppressAutoHyphens/>
              <w:spacing w:after="120"/>
              <w:ind w:left="-28"/>
              <w:jc w:val="center"/>
              <w:rPr>
                <w:rFonts w:cs="Arial"/>
                <w:color w:val="000000"/>
                <w:sz w:val="16"/>
                <w:szCs w:val="16"/>
              </w:rPr>
            </w:pPr>
            <w:r>
              <w:rPr>
                <w:rFonts w:cs="Arial"/>
                <w:color w:val="000000"/>
                <w:sz w:val="16"/>
                <w:szCs w:val="16"/>
              </w:rPr>
              <w:t>BR0047678</w:t>
            </w:r>
          </w:p>
          <w:p w:rsidR="00093980" w:rsidRDefault="00093980" w:rsidP="003078E5">
            <w:pPr>
              <w:widowControl w:val="0"/>
              <w:suppressAutoHyphens/>
              <w:spacing w:after="120"/>
              <w:ind w:left="-28"/>
              <w:jc w:val="center"/>
              <w:rPr>
                <w:rFonts w:cs="Arial"/>
                <w:color w:val="000000"/>
                <w:sz w:val="16"/>
                <w:szCs w:val="16"/>
              </w:rPr>
            </w:pPr>
          </w:p>
        </w:tc>
        <w:tc>
          <w:tcPr>
            <w:tcW w:w="850" w:type="dxa"/>
            <w:gridSpan w:val="2"/>
          </w:tcPr>
          <w:p w:rsidR="00093980" w:rsidRDefault="00093980" w:rsidP="003078E5">
            <w:pPr>
              <w:widowControl w:val="0"/>
              <w:suppressAutoHyphens/>
              <w:spacing w:after="120"/>
              <w:jc w:val="center"/>
              <w:rPr>
                <w:rFonts w:cs="Arial"/>
                <w:color w:val="000000"/>
                <w:sz w:val="16"/>
                <w:szCs w:val="16"/>
              </w:rPr>
            </w:pPr>
          </w:p>
          <w:p w:rsidR="00093980" w:rsidRDefault="00093980" w:rsidP="003078E5">
            <w:pPr>
              <w:widowControl w:val="0"/>
              <w:suppressAutoHyphens/>
              <w:spacing w:after="120"/>
              <w:rPr>
                <w:rFonts w:cs="Arial"/>
                <w:color w:val="000000"/>
                <w:sz w:val="16"/>
                <w:szCs w:val="16"/>
              </w:rPr>
            </w:pPr>
          </w:p>
          <w:p w:rsidR="00093980" w:rsidRDefault="00093980" w:rsidP="003078E5">
            <w:pPr>
              <w:widowControl w:val="0"/>
              <w:suppressAutoHyphens/>
              <w:spacing w:after="120"/>
              <w:rPr>
                <w:rFonts w:cs="Arial"/>
                <w:color w:val="000000"/>
                <w:sz w:val="16"/>
                <w:szCs w:val="16"/>
              </w:rPr>
            </w:pPr>
          </w:p>
          <w:p w:rsidR="00093980" w:rsidRDefault="00C13335" w:rsidP="003078E5">
            <w:pPr>
              <w:widowControl w:val="0"/>
              <w:suppressAutoHyphens/>
              <w:spacing w:after="120"/>
              <w:jc w:val="center"/>
              <w:rPr>
                <w:rFonts w:cs="Arial"/>
                <w:color w:val="000000"/>
                <w:sz w:val="16"/>
                <w:szCs w:val="16"/>
              </w:rPr>
            </w:pPr>
            <w:r>
              <w:rPr>
                <w:sz w:val="18"/>
              </w:rPr>
              <w:t>Botijão com 45 kg</w:t>
            </w:r>
          </w:p>
        </w:tc>
        <w:tc>
          <w:tcPr>
            <w:tcW w:w="851"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rPr>
                <w:rFonts w:cs="Arial"/>
                <w:color w:val="000000"/>
                <w:sz w:val="16"/>
                <w:szCs w:val="16"/>
              </w:rPr>
            </w:pPr>
          </w:p>
          <w:p w:rsidR="00093980" w:rsidRDefault="00093980" w:rsidP="00D46635">
            <w:pPr>
              <w:widowControl w:val="0"/>
              <w:suppressAutoHyphens/>
              <w:spacing w:after="120"/>
              <w:ind w:left="255"/>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01</w:t>
            </w:r>
          </w:p>
        </w:tc>
        <w:tc>
          <w:tcPr>
            <w:tcW w:w="1701"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921</w:t>
            </w:r>
          </w:p>
          <w:p w:rsidR="00093980" w:rsidRDefault="00093980" w:rsidP="00D46635">
            <w:pPr>
              <w:widowControl w:val="0"/>
              <w:suppressAutoHyphens/>
              <w:spacing w:after="120"/>
              <w:ind w:left="255"/>
              <w:jc w:val="center"/>
              <w:rPr>
                <w:rFonts w:cs="Arial"/>
                <w:color w:val="000000"/>
                <w:sz w:val="16"/>
                <w:szCs w:val="16"/>
              </w:rPr>
            </w:pPr>
          </w:p>
        </w:tc>
        <w:tc>
          <w:tcPr>
            <w:tcW w:w="1276"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R$ 355,68</w:t>
            </w:r>
          </w:p>
        </w:tc>
        <w:tc>
          <w:tcPr>
            <w:tcW w:w="1984" w:type="dxa"/>
            <w:gridSpan w:val="2"/>
          </w:tcPr>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093980" w:rsidP="00D46635">
            <w:pPr>
              <w:widowControl w:val="0"/>
              <w:suppressAutoHyphens/>
              <w:spacing w:after="120"/>
              <w:ind w:left="255"/>
              <w:jc w:val="center"/>
              <w:rPr>
                <w:rFonts w:cs="Arial"/>
                <w:color w:val="000000"/>
                <w:sz w:val="16"/>
                <w:szCs w:val="16"/>
              </w:rPr>
            </w:pPr>
          </w:p>
          <w:p w:rsidR="00093980" w:rsidRDefault="00C13335" w:rsidP="00D46635">
            <w:pPr>
              <w:widowControl w:val="0"/>
              <w:suppressAutoHyphens/>
              <w:spacing w:after="120"/>
              <w:ind w:left="255"/>
              <w:jc w:val="center"/>
              <w:rPr>
                <w:rFonts w:cs="Arial"/>
                <w:color w:val="000000"/>
                <w:sz w:val="16"/>
                <w:szCs w:val="16"/>
              </w:rPr>
            </w:pPr>
            <w:r>
              <w:rPr>
                <w:rFonts w:cs="Arial"/>
                <w:color w:val="000000"/>
                <w:sz w:val="16"/>
                <w:szCs w:val="16"/>
              </w:rPr>
              <w:t>R$ 327.581,28</w:t>
            </w:r>
          </w:p>
        </w:tc>
      </w:tr>
      <w:tr w:rsidR="00093980" w:rsidTr="00D46635">
        <w:trPr>
          <w:gridBefore w:val="1"/>
          <w:wBefore w:w="425" w:type="dxa"/>
          <w:trHeight w:val="339"/>
        </w:trPr>
        <w:tc>
          <w:tcPr>
            <w:tcW w:w="7939" w:type="dxa"/>
            <w:gridSpan w:val="12"/>
          </w:tcPr>
          <w:p w:rsidR="00093980" w:rsidRDefault="00C13335" w:rsidP="00D46635">
            <w:pPr>
              <w:widowControl w:val="0"/>
              <w:suppressAutoHyphens/>
              <w:spacing w:after="120"/>
              <w:ind w:left="255"/>
              <w:jc w:val="center"/>
              <w:rPr>
                <w:rFonts w:cs="Arial"/>
                <w:b/>
                <w:color w:val="000000"/>
                <w:sz w:val="16"/>
                <w:szCs w:val="16"/>
              </w:rPr>
            </w:pPr>
            <w:r>
              <w:rPr>
                <w:rFonts w:cs="Arial"/>
                <w:b/>
                <w:color w:val="000000"/>
                <w:szCs w:val="16"/>
              </w:rPr>
              <w:t>Valor Total</w:t>
            </w:r>
          </w:p>
        </w:tc>
        <w:tc>
          <w:tcPr>
            <w:tcW w:w="3260" w:type="dxa"/>
            <w:gridSpan w:val="4"/>
          </w:tcPr>
          <w:p w:rsidR="00093980" w:rsidRDefault="00C13335" w:rsidP="00D46635">
            <w:pPr>
              <w:widowControl w:val="0"/>
              <w:suppressAutoHyphens/>
              <w:spacing w:after="120"/>
              <w:ind w:left="255"/>
              <w:jc w:val="center"/>
              <w:rPr>
                <w:rFonts w:cs="Arial"/>
                <w:b/>
                <w:color w:val="000000"/>
                <w:sz w:val="16"/>
                <w:szCs w:val="16"/>
              </w:rPr>
            </w:pPr>
            <w:r>
              <w:rPr>
                <w:rFonts w:cs="Arial"/>
                <w:b/>
                <w:color w:val="000000"/>
                <w:szCs w:val="16"/>
              </w:rPr>
              <w:t>R$ 3</w:t>
            </w:r>
            <w:r w:rsidR="000B63B7">
              <w:rPr>
                <w:rFonts w:cs="Arial"/>
                <w:b/>
                <w:color w:val="000000"/>
                <w:szCs w:val="16"/>
              </w:rPr>
              <w:t>79.923,33</w:t>
            </w:r>
          </w:p>
        </w:tc>
      </w:tr>
    </w:tbl>
    <w:p w:rsidR="00093980" w:rsidRDefault="00093980">
      <w:pPr>
        <w:spacing w:before="120" w:after="120"/>
        <w:ind w:left="425"/>
        <w:jc w:val="both"/>
        <w:rPr>
          <w:rFonts w:cs="Arial"/>
          <w:b/>
          <w:i/>
          <w:szCs w:val="20"/>
        </w:rPr>
        <w:sectPr w:rsidR="00093980">
          <w:footerReference w:type="default" r:id="rId14"/>
          <w:pgSz w:w="11906" w:h="16838"/>
          <w:pgMar w:top="1418" w:right="1134" w:bottom="1418" w:left="1701" w:header="709" w:footer="709" w:gutter="0"/>
          <w:cols w:space="708"/>
          <w:docGrid w:linePitch="360"/>
        </w:sectPr>
      </w:pPr>
    </w:p>
    <w:p w:rsidR="00093980" w:rsidRDefault="00093980">
      <w:pPr>
        <w:spacing w:before="120" w:after="120"/>
        <w:ind w:left="425"/>
        <w:jc w:val="both"/>
        <w:rPr>
          <w:rFonts w:cs="Arial"/>
          <w:b/>
          <w:i/>
          <w:szCs w:val="20"/>
        </w:rPr>
      </w:pPr>
    </w:p>
    <w:p w:rsidR="00093980" w:rsidRDefault="00C13335">
      <w:pPr>
        <w:numPr>
          <w:ilvl w:val="2"/>
          <w:numId w:val="2"/>
        </w:numPr>
        <w:spacing w:before="120" w:after="120"/>
        <w:jc w:val="both"/>
        <w:rPr>
          <w:rFonts w:cs="Arial"/>
          <w:i/>
          <w:szCs w:val="20"/>
        </w:rPr>
      </w:pPr>
      <w:r>
        <w:rPr>
          <w:rFonts w:cs="Arial"/>
          <w:i/>
          <w:szCs w:val="20"/>
        </w:rPr>
        <w:t>Estimativas de consumo individualizadas, do órgão gerenciador e órgão(s) e entidade(s) participante(s).</w:t>
      </w:r>
    </w:p>
    <w:p w:rsidR="00093980" w:rsidRDefault="00093980">
      <w:pPr>
        <w:autoSpaceDE w:val="0"/>
        <w:spacing w:after="120"/>
        <w:jc w:val="both"/>
        <w:rPr>
          <w:rFonts w:cs="Arial"/>
          <w:b/>
          <w:i/>
          <w:color w:val="FF0000"/>
          <w:szCs w:val="20"/>
        </w:rPr>
      </w:pPr>
    </w:p>
    <w:tbl>
      <w:tblPr>
        <w:tblStyle w:val="TableGrid"/>
        <w:tblW w:w="15310" w:type="dxa"/>
        <w:tblInd w:w="-923" w:type="dxa"/>
        <w:tblLayout w:type="fixed"/>
        <w:tblCellMar>
          <w:top w:w="19" w:type="dxa"/>
          <w:left w:w="70" w:type="dxa"/>
          <w:right w:w="47" w:type="dxa"/>
        </w:tblCellMar>
        <w:tblLook w:val="04A0" w:firstRow="1" w:lastRow="0" w:firstColumn="1" w:lastColumn="0" w:noHBand="0" w:noVBand="1"/>
      </w:tblPr>
      <w:tblGrid>
        <w:gridCol w:w="567"/>
        <w:gridCol w:w="2978"/>
        <w:gridCol w:w="567"/>
        <w:gridCol w:w="992"/>
        <w:gridCol w:w="425"/>
        <w:gridCol w:w="426"/>
        <w:gridCol w:w="425"/>
        <w:gridCol w:w="425"/>
        <w:gridCol w:w="425"/>
        <w:gridCol w:w="567"/>
        <w:gridCol w:w="426"/>
        <w:gridCol w:w="425"/>
        <w:gridCol w:w="142"/>
        <w:gridCol w:w="567"/>
        <w:gridCol w:w="567"/>
        <w:gridCol w:w="425"/>
        <w:gridCol w:w="425"/>
        <w:gridCol w:w="567"/>
        <w:gridCol w:w="567"/>
        <w:gridCol w:w="567"/>
        <w:gridCol w:w="567"/>
        <w:gridCol w:w="567"/>
        <w:gridCol w:w="567"/>
        <w:gridCol w:w="1134"/>
      </w:tblGrid>
      <w:tr w:rsidR="00733BAF" w:rsidTr="00733BAF">
        <w:trPr>
          <w:gridAfter w:val="20"/>
          <w:wAfter w:w="10206" w:type="dxa"/>
          <w:trHeight w:val="498"/>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ind w:right="29"/>
              <w:jc w:val="center"/>
              <w:rPr>
                <w:rFonts w:ascii="Times New Roman" w:hAnsi="Times New Roman" w:cs="Times New Roman"/>
                <w:sz w:val="24"/>
              </w:rPr>
            </w:pPr>
            <w:r>
              <w:rPr>
                <w:rFonts w:ascii="Times New Roman" w:hAnsi="Times New Roman" w:cs="Times New Roman"/>
                <w:sz w:val="18"/>
              </w:rPr>
              <w:t>Item</w:t>
            </w:r>
            <w:r>
              <w:rPr>
                <w:rFonts w:ascii="Times New Roman" w:hAnsi="Times New Roman" w:cs="Times New Roman"/>
                <w:sz w:val="16"/>
              </w:rPr>
              <w:t xml:space="preserve"> </w:t>
            </w:r>
          </w:p>
        </w:tc>
        <w:tc>
          <w:tcPr>
            <w:tcW w:w="2978" w:type="dxa"/>
            <w:vMerge w:val="restart"/>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ind w:right="25"/>
              <w:jc w:val="center"/>
              <w:rPr>
                <w:rFonts w:ascii="Times New Roman" w:hAnsi="Times New Roman" w:cs="Times New Roman"/>
                <w:sz w:val="24"/>
              </w:rPr>
            </w:pPr>
            <w:r>
              <w:rPr>
                <w:rFonts w:ascii="Times New Roman" w:hAnsi="Times New Roman" w:cs="Times New Roman"/>
                <w:sz w:val="18"/>
              </w:rPr>
              <w:t xml:space="preserve">Descrição Resumida </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33BAF" w:rsidRDefault="00733BAF">
            <w:pPr>
              <w:spacing w:line="259" w:lineRule="auto"/>
              <w:ind w:left="113" w:right="113"/>
              <w:jc w:val="center"/>
              <w:rPr>
                <w:rFonts w:ascii="Times New Roman" w:hAnsi="Times New Roman" w:cs="Times New Roman"/>
                <w:sz w:val="24"/>
              </w:rPr>
            </w:pPr>
            <w:r>
              <w:rPr>
                <w:rFonts w:ascii="Times New Roman" w:hAnsi="Times New Roman" w:cs="Times New Roman"/>
                <w:sz w:val="18"/>
              </w:rPr>
              <w:t>CATMAT</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ind w:right="23"/>
              <w:jc w:val="center"/>
              <w:rPr>
                <w:rFonts w:ascii="Times New Roman" w:hAnsi="Times New Roman" w:cs="Times New Roman"/>
                <w:sz w:val="24"/>
              </w:rPr>
            </w:pPr>
            <w:r>
              <w:rPr>
                <w:rFonts w:ascii="Times New Roman" w:hAnsi="Times New Roman" w:cs="Times New Roman"/>
                <w:sz w:val="18"/>
              </w:rPr>
              <w:t>UNID.</w:t>
            </w:r>
          </w:p>
        </w:tc>
      </w:tr>
      <w:tr w:rsidR="00733BAF" w:rsidTr="00733BAF">
        <w:trPr>
          <w:gridAfter w:val="20"/>
          <w:wAfter w:w="10206" w:type="dxa"/>
          <w:cantSplit/>
          <w:trHeight w:val="1134"/>
        </w:trPr>
        <w:tc>
          <w:tcPr>
            <w:tcW w:w="567"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2978"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567"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992"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r>
      <w:tr w:rsidR="00733BAF" w:rsidTr="00733BAF">
        <w:trPr>
          <w:cantSplit/>
          <w:trHeight w:val="1134"/>
        </w:trPr>
        <w:tc>
          <w:tcPr>
            <w:tcW w:w="567"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2978"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567"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992" w:type="dxa"/>
            <w:vMerge/>
            <w:tcBorders>
              <w:top w:val="nil"/>
              <w:left w:val="single" w:sz="4" w:space="0" w:color="000000"/>
              <w:bottom w:val="single" w:sz="4" w:space="0" w:color="000000"/>
              <w:right w:val="single" w:sz="4" w:space="0" w:color="000000"/>
            </w:tcBorders>
          </w:tcPr>
          <w:p w:rsidR="00733BAF" w:rsidRDefault="00733BAF">
            <w:pPr>
              <w:spacing w:after="160" w:line="259" w:lineRule="auto"/>
              <w:rPr>
                <w:rFonts w:ascii="Times New Roman" w:hAnsi="Times New Roman" w:cs="Times New Roman"/>
                <w:sz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rsidR="00733BAF" w:rsidRDefault="00733BAF">
            <w:pPr>
              <w:spacing w:line="259" w:lineRule="auto"/>
              <w:ind w:left="5" w:right="113"/>
              <w:jc w:val="center"/>
              <w:rPr>
                <w:rFonts w:ascii="Times New Roman" w:hAnsi="Times New Roman" w:cs="Times New Roman"/>
                <w:color w:val="FF0000"/>
                <w:sz w:val="16"/>
                <w:szCs w:val="16"/>
              </w:rPr>
            </w:pPr>
            <w:r>
              <w:rPr>
                <w:rFonts w:ascii="Times New Roman" w:hAnsi="Times New Roman" w:cs="Times New Roman"/>
                <w:color w:val="000000" w:themeColor="text1"/>
                <w:sz w:val="16"/>
                <w:szCs w:val="16"/>
              </w:rPr>
              <w:t>CFS</w:t>
            </w:r>
          </w:p>
        </w:tc>
        <w:tc>
          <w:tcPr>
            <w:tcW w:w="426" w:type="dxa"/>
            <w:tcBorders>
              <w:top w:val="single" w:sz="4" w:space="0" w:color="000000"/>
              <w:left w:val="single" w:sz="4" w:space="0" w:color="000000"/>
              <w:bottom w:val="single" w:sz="4" w:space="0" w:color="000000"/>
              <w:right w:val="single" w:sz="4" w:space="0" w:color="000000"/>
            </w:tcBorders>
            <w:shd w:val="clear" w:color="auto" w:fill="C6D9F1" w:themeFill="text2" w:themeFillTint="33"/>
            <w:textDirection w:val="btLr"/>
            <w:vAlign w:val="center"/>
          </w:tcPr>
          <w:p w:rsidR="00733BAF" w:rsidRDefault="00733BAF">
            <w:pPr>
              <w:spacing w:line="259" w:lineRule="auto"/>
              <w:ind w:left="113" w:right="22"/>
              <w:jc w:val="center"/>
              <w:rPr>
                <w:rFonts w:ascii="Times New Roman" w:hAnsi="Times New Roman" w:cs="Times New Roman"/>
                <w:sz w:val="16"/>
                <w:szCs w:val="16"/>
              </w:rPr>
            </w:pPr>
            <w:r>
              <w:rPr>
                <w:rFonts w:ascii="Times New Roman" w:hAnsi="Times New Roman" w:cs="Times New Roman"/>
                <w:sz w:val="16"/>
                <w:szCs w:val="16"/>
              </w:rPr>
              <w:t>BLV</w:t>
            </w:r>
          </w:p>
        </w:tc>
        <w:tc>
          <w:tcPr>
            <w:tcW w:w="42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extDirection w:val="btLr"/>
            <w:vAlign w:val="center"/>
          </w:tcPr>
          <w:p w:rsidR="00733BAF" w:rsidRDefault="00733BAF">
            <w:pPr>
              <w:spacing w:line="259" w:lineRule="auto"/>
              <w:ind w:left="1" w:right="113"/>
              <w:jc w:val="center"/>
              <w:rPr>
                <w:rFonts w:ascii="Times New Roman" w:hAnsi="Times New Roman" w:cs="Times New Roman"/>
                <w:sz w:val="16"/>
                <w:szCs w:val="16"/>
              </w:rPr>
            </w:pPr>
            <w:r>
              <w:rPr>
                <w:rFonts w:ascii="Times New Roman" w:hAnsi="Times New Roman" w:cs="Times New Roman"/>
                <w:sz w:val="16"/>
                <w:szCs w:val="16"/>
              </w:rPr>
              <w:t>CBA</w:t>
            </w:r>
          </w:p>
        </w:tc>
        <w:tc>
          <w:tcPr>
            <w:tcW w:w="42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extDirection w:val="btLr"/>
            <w:vAlign w:val="center"/>
          </w:tcPr>
          <w:p w:rsidR="00733BAF" w:rsidRDefault="00733BAF">
            <w:pPr>
              <w:spacing w:line="259" w:lineRule="auto"/>
              <w:ind w:left="113" w:right="21"/>
              <w:jc w:val="center"/>
              <w:rPr>
                <w:rFonts w:ascii="Times New Roman" w:hAnsi="Times New Roman" w:cs="Times New Roman"/>
                <w:sz w:val="16"/>
                <w:szCs w:val="16"/>
              </w:rPr>
            </w:pPr>
            <w:r>
              <w:rPr>
                <w:rFonts w:ascii="Times New Roman" w:hAnsi="Times New Roman" w:cs="Times New Roman"/>
                <w:sz w:val="16"/>
                <w:szCs w:val="16"/>
              </w:rPr>
              <w:t>DMT</w:t>
            </w:r>
          </w:p>
        </w:tc>
        <w:tc>
          <w:tcPr>
            <w:tcW w:w="425"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extDirection w:val="btLr"/>
            <w:vAlign w:val="center"/>
          </w:tcPr>
          <w:p w:rsidR="00733BAF" w:rsidRDefault="00733BAF">
            <w:pPr>
              <w:spacing w:line="259" w:lineRule="auto"/>
              <w:ind w:left="113" w:right="21"/>
              <w:jc w:val="center"/>
              <w:rPr>
                <w:rFonts w:ascii="Times New Roman" w:hAnsi="Times New Roman" w:cs="Times New Roman"/>
                <w:sz w:val="16"/>
                <w:szCs w:val="16"/>
              </w:rPr>
            </w:pPr>
            <w:r>
              <w:rPr>
                <w:rFonts w:ascii="Times New Roman" w:hAnsi="Times New Roman" w:cs="Times New Roman"/>
                <w:sz w:val="16"/>
                <w:szCs w:val="16"/>
              </w:rPr>
              <w:t>LRV</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rsidR="00733BAF" w:rsidRDefault="00733BAF">
            <w:pPr>
              <w:spacing w:line="259" w:lineRule="auto"/>
              <w:ind w:left="113" w:right="21"/>
              <w:jc w:val="center"/>
              <w:rPr>
                <w:rFonts w:ascii="Times New Roman" w:hAnsi="Times New Roman" w:cs="Times New Roman"/>
                <w:sz w:val="16"/>
                <w:szCs w:val="16"/>
              </w:rPr>
            </w:pPr>
            <w:r>
              <w:rPr>
                <w:rFonts w:ascii="Times New Roman" w:hAnsi="Times New Roman" w:cs="Times New Roman"/>
                <w:sz w:val="16"/>
                <w:szCs w:val="16"/>
              </w:rPr>
              <w:t>RTR</w:t>
            </w:r>
          </w:p>
        </w:tc>
        <w:tc>
          <w:tcPr>
            <w:tcW w:w="426"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extDirection w:val="btLr"/>
            <w:vAlign w:val="center"/>
          </w:tcPr>
          <w:p w:rsidR="00733BAF" w:rsidRDefault="00733BAF">
            <w:pPr>
              <w:spacing w:line="259" w:lineRule="auto"/>
              <w:ind w:left="5" w:right="113"/>
              <w:jc w:val="center"/>
              <w:rPr>
                <w:rFonts w:ascii="Times New Roman" w:hAnsi="Times New Roman" w:cs="Times New Roman"/>
                <w:sz w:val="16"/>
                <w:szCs w:val="16"/>
              </w:rPr>
            </w:pPr>
            <w:r>
              <w:rPr>
                <w:rFonts w:ascii="Times New Roman" w:hAnsi="Times New Roman" w:cs="Times New Roman"/>
                <w:sz w:val="16"/>
                <w:szCs w:val="16"/>
              </w:rPr>
              <w:t>CNP</w:t>
            </w:r>
          </w:p>
        </w:tc>
        <w:tc>
          <w:tcPr>
            <w:tcW w:w="425"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extDirection w:val="btLr"/>
            <w:vAlign w:val="center"/>
          </w:tcPr>
          <w:p w:rsidR="00733BAF" w:rsidRDefault="00733BAF">
            <w:pPr>
              <w:spacing w:line="259" w:lineRule="auto"/>
              <w:ind w:left="113" w:right="20"/>
              <w:jc w:val="center"/>
              <w:rPr>
                <w:rFonts w:ascii="Times New Roman" w:hAnsi="Times New Roman" w:cs="Times New Roman"/>
                <w:sz w:val="16"/>
                <w:szCs w:val="16"/>
              </w:rPr>
            </w:pPr>
            <w:r>
              <w:rPr>
                <w:rFonts w:ascii="Times New Roman" w:hAnsi="Times New Roman" w:cs="Times New Roman"/>
                <w:color w:val="000000" w:themeColor="text1"/>
                <w:sz w:val="16"/>
                <w:szCs w:val="16"/>
              </w:rPr>
              <w:t>TGS</w:t>
            </w:r>
          </w:p>
        </w:tc>
        <w:tc>
          <w:tcPr>
            <w:tcW w:w="142" w:type="dxa"/>
            <w:tcBorders>
              <w:top w:val="single" w:sz="4" w:space="0" w:color="000000"/>
              <w:left w:val="single" w:sz="4" w:space="0" w:color="000000"/>
              <w:bottom w:val="single" w:sz="4" w:space="0" w:color="000000"/>
              <w:right w:val="nil"/>
            </w:tcBorders>
            <w:shd w:val="clear" w:color="auto" w:fill="FFFFFF" w:themeFill="background1"/>
            <w:textDirection w:val="btLr"/>
            <w:vAlign w:val="center"/>
          </w:tcPr>
          <w:p w:rsidR="00733BAF" w:rsidRDefault="00733BAF">
            <w:pPr>
              <w:spacing w:line="259" w:lineRule="auto"/>
              <w:ind w:left="113" w:right="6"/>
              <w:jc w:val="center"/>
              <w:rPr>
                <w:rFonts w:ascii="Times New Roman" w:hAnsi="Times New Roman" w:cs="Times New Roman"/>
                <w:sz w:val="16"/>
                <w:szCs w:val="16"/>
              </w:rPr>
            </w:pPr>
          </w:p>
        </w:tc>
        <w:tc>
          <w:tcPr>
            <w:tcW w:w="567" w:type="dxa"/>
            <w:tcBorders>
              <w:top w:val="single" w:sz="4" w:space="0" w:color="000000"/>
              <w:left w:val="nil"/>
              <w:bottom w:val="single" w:sz="4" w:space="0" w:color="000000"/>
              <w:right w:val="single" w:sz="4" w:space="0" w:color="000000"/>
            </w:tcBorders>
            <w:shd w:val="clear" w:color="auto" w:fill="F79646" w:themeFill="accent6"/>
            <w:textDirection w:val="btLr"/>
            <w:vAlign w:val="center"/>
          </w:tcPr>
          <w:p w:rsidR="00733BAF" w:rsidRDefault="00733BAF">
            <w:pPr>
              <w:spacing w:line="259" w:lineRule="auto"/>
              <w:ind w:left="113" w:right="26"/>
              <w:jc w:val="center"/>
              <w:rPr>
                <w:rFonts w:ascii="Times New Roman" w:hAnsi="Times New Roman" w:cs="Times New Roman"/>
                <w:sz w:val="16"/>
                <w:szCs w:val="16"/>
              </w:rPr>
            </w:pPr>
            <w:r>
              <w:rPr>
                <w:rFonts w:ascii="Times New Roman" w:hAnsi="Times New Roman" w:cs="Times New Roman"/>
                <w:sz w:val="16"/>
                <w:szCs w:val="16"/>
              </w:rPr>
              <w:t>GTA</w:t>
            </w:r>
          </w:p>
        </w:tc>
        <w:tc>
          <w:tcPr>
            <w:tcW w:w="56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extDirection w:val="btLr"/>
            <w:vAlign w:val="center"/>
          </w:tcPr>
          <w:p w:rsidR="00733BAF" w:rsidRDefault="00733BAF">
            <w:pPr>
              <w:spacing w:line="259" w:lineRule="auto"/>
              <w:ind w:left="113" w:right="20"/>
              <w:jc w:val="center"/>
              <w:rPr>
                <w:rFonts w:ascii="Times New Roman" w:hAnsi="Times New Roman" w:cs="Times New Roman"/>
                <w:sz w:val="16"/>
                <w:szCs w:val="16"/>
              </w:rPr>
            </w:pPr>
            <w:r>
              <w:rPr>
                <w:rFonts w:ascii="Times New Roman" w:hAnsi="Times New Roman" w:cs="Times New Roman"/>
                <w:sz w:val="16"/>
                <w:szCs w:val="16"/>
              </w:rPr>
              <w:t>JNA</w:t>
            </w:r>
          </w:p>
        </w:tc>
        <w:tc>
          <w:tcPr>
            <w:tcW w:w="425" w:type="dxa"/>
            <w:tcBorders>
              <w:top w:val="single" w:sz="4" w:space="0" w:color="000000"/>
              <w:left w:val="single" w:sz="4" w:space="0" w:color="000000"/>
              <w:bottom w:val="single" w:sz="4" w:space="0" w:color="000000"/>
              <w:right w:val="single" w:sz="4" w:space="0" w:color="000000"/>
            </w:tcBorders>
            <w:shd w:val="clear" w:color="auto" w:fill="00B0F0"/>
            <w:textDirection w:val="btLr"/>
            <w:vAlign w:val="center"/>
          </w:tcPr>
          <w:p w:rsidR="00733BAF" w:rsidRDefault="00733BAF">
            <w:pPr>
              <w:spacing w:line="259" w:lineRule="auto"/>
              <w:ind w:left="113" w:right="25"/>
              <w:jc w:val="center"/>
              <w:rPr>
                <w:rFonts w:ascii="Times New Roman" w:hAnsi="Times New Roman" w:cs="Times New Roman"/>
                <w:sz w:val="16"/>
                <w:szCs w:val="16"/>
              </w:rPr>
            </w:pPr>
            <w:r>
              <w:rPr>
                <w:rFonts w:ascii="Times New Roman" w:hAnsi="Times New Roman" w:cs="Times New Roman"/>
                <w:sz w:val="16"/>
                <w:szCs w:val="16"/>
              </w:rPr>
              <w:t>PDL</w:t>
            </w:r>
          </w:p>
        </w:tc>
        <w:tc>
          <w:tcPr>
            <w:tcW w:w="425" w:type="dxa"/>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vAlign w:val="center"/>
          </w:tcPr>
          <w:p w:rsidR="00733BAF" w:rsidRDefault="00733BAF">
            <w:pPr>
              <w:spacing w:line="259" w:lineRule="auto"/>
              <w:ind w:left="5" w:right="113"/>
              <w:jc w:val="center"/>
              <w:rPr>
                <w:rFonts w:ascii="Times New Roman" w:hAnsi="Times New Roman" w:cs="Times New Roman"/>
                <w:sz w:val="16"/>
                <w:szCs w:val="16"/>
              </w:rPr>
            </w:pPr>
            <w:r>
              <w:rPr>
                <w:rFonts w:ascii="Times New Roman" w:hAnsi="Times New Roman" w:cs="Times New Roman"/>
                <w:sz w:val="16"/>
                <w:szCs w:val="16"/>
              </w:rPr>
              <w:t>SNP</w:t>
            </w:r>
          </w:p>
        </w:tc>
        <w:tc>
          <w:tcPr>
            <w:tcW w:w="567" w:type="dxa"/>
            <w:tcBorders>
              <w:top w:val="single" w:sz="4" w:space="0" w:color="000000"/>
              <w:left w:val="single" w:sz="4" w:space="0" w:color="000000"/>
              <w:bottom w:val="single" w:sz="4" w:space="0" w:color="000000"/>
              <w:right w:val="single" w:sz="4" w:space="0" w:color="000000"/>
            </w:tcBorders>
            <w:shd w:val="clear" w:color="auto" w:fill="FFFF00"/>
            <w:textDirection w:val="btLr"/>
            <w:vAlign w:val="center"/>
          </w:tcPr>
          <w:p w:rsidR="00733BAF" w:rsidRDefault="00733BAF">
            <w:pPr>
              <w:spacing w:line="259" w:lineRule="auto"/>
              <w:ind w:left="6" w:right="113"/>
              <w:jc w:val="center"/>
              <w:rPr>
                <w:rFonts w:ascii="Times New Roman" w:hAnsi="Times New Roman" w:cs="Times New Roman"/>
                <w:sz w:val="16"/>
                <w:szCs w:val="16"/>
              </w:rPr>
            </w:pPr>
            <w:r>
              <w:rPr>
                <w:rFonts w:ascii="Times New Roman" w:hAnsi="Times New Roman" w:cs="Times New Roman"/>
                <w:sz w:val="16"/>
                <w:szCs w:val="16"/>
              </w:rPr>
              <w:t>SRS</w:t>
            </w:r>
          </w:p>
        </w:tc>
        <w:tc>
          <w:tcPr>
            <w:tcW w:w="567" w:type="dxa"/>
            <w:tcBorders>
              <w:top w:val="single" w:sz="4" w:space="0" w:color="000000"/>
              <w:left w:val="single" w:sz="4" w:space="0" w:color="000000"/>
              <w:bottom w:val="single" w:sz="4" w:space="0" w:color="000000"/>
              <w:right w:val="single" w:sz="4" w:space="0" w:color="000000"/>
            </w:tcBorders>
            <w:shd w:val="clear" w:color="auto" w:fill="C00000"/>
            <w:textDirection w:val="btLr"/>
            <w:vAlign w:val="center"/>
          </w:tcPr>
          <w:p w:rsidR="00733BAF" w:rsidRDefault="00733BAF">
            <w:pPr>
              <w:spacing w:line="259" w:lineRule="auto"/>
              <w:ind w:left="4" w:right="113"/>
              <w:jc w:val="center"/>
              <w:rPr>
                <w:rFonts w:ascii="Times New Roman" w:hAnsi="Times New Roman" w:cs="Times New Roman"/>
                <w:sz w:val="16"/>
                <w:szCs w:val="16"/>
              </w:rPr>
            </w:pPr>
            <w:r>
              <w:rPr>
                <w:rFonts w:ascii="Times New Roman" w:hAnsi="Times New Roman" w:cs="Times New Roman"/>
                <w:sz w:val="16"/>
                <w:szCs w:val="16"/>
              </w:rPr>
              <w:t>SVC</w:t>
            </w:r>
          </w:p>
        </w:tc>
        <w:tc>
          <w:tcPr>
            <w:tcW w:w="56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extDirection w:val="btLr"/>
            <w:vAlign w:val="center"/>
          </w:tcPr>
          <w:p w:rsidR="00733BAF" w:rsidRDefault="00733BAF">
            <w:pPr>
              <w:spacing w:line="259" w:lineRule="auto"/>
              <w:ind w:left="113" w:right="22"/>
              <w:jc w:val="center"/>
              <w:rPr>
                <w:rFonts w:ascii="Times New Roman" w:hAnsi="Times New Roman" w:cs="Times New Roman"/>
                <w:sz w:val="16"/>
                <w:szCs w:val="16"/>
              </w:rPr>
            </w:pPr>
            <w:r>
              <w:rPr>
                <w:rFonts w:ascii="Times New Roman" w:hAnsi="Times New Roman" w:cs="Times New Roman"/>
                <w:sz w:val="16"/>
                <w:szCs w:val="16"/>
              </w:rPr>
              <w:t>ALF</w:t>
            </w:r>
          </w:p>
        </w:tc>
        <w:tc>
          <w:tcPr>
            <w:tcW w:w="567"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extDirection w:val="btLr"/>
            <w:vAlign w:val="center"/>
          </w:tcPr>
          <w:p w:rsidR="00733BAF" w:rsidRDefault="00733BAF">
            <w:pPr>
              <w:spacing w:line="259" w:lineRule="auto"/>
              <w:ind w:left="113" w:right="22"/>
              <w:jc w:val="center"/>
              <w:rPr>
                <w:rFonts w:ascii="Times New Roman" w:hAnsi="Times New Roman" w:cs="Times New Roman"/>
                <w:sz w:val="16"/>
                <w:szCs w:val="16"/>
              </w:rPr>
            </w:pPr>
            <w:r>
              <w:rPr>
                <w:rFonts w:ascii="Times New Roman" w:hAnsi="Times New Roman" w:cs="Times New Roman"/>
                <w:sz w:val="16"/>
                <w:szCs w:val="16"/>
              </w:rPr>
              <w:t>PLC</w:t>
            </w:r>
          </w:p>
        </w:tc>
        <w:tc>
          <w:tcPr>
            <w:tcW w:w="567"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textDirection w:val="btLr"/>
            <w:vAlign w:val="center"/>
          </w:tcPr>
          <w:p w:rsidR="00733BAF" w:rsidRDefault="00733BAF">
            <w:pPr>
              <w:spacing w:line="259" w:lineRule="auto"/>
              <w:ind w:left="113" w:right="22"/>
              <w:jc w:val="center"/>
              <w:rPr>
                <w:rFonts w:ascii="Times New Roman" w:hAnsi="Times New Roman" w:cs="Times New Roman"/>
                <w:b/>
                <w:sz w:val="16"/>
                <w:szCs w:val="16"/>
              </w:rPr>
            </w:pPr>
            <w:r>
              <w:rPr>
                <w:rFonts w:ascii="Times New Roman" w:hAnsi="Times New Roman" w:cs="Times New Roman"/>
                <w:b/>
                <w:sz w:val="16"/>
                <w:szCs w:val="16"/>
              </w:rPr>
              <w:t>ROO</w:t>
            </w:r>
          </w:p>
        </w:tc>
        <w:tc>
          <w:tcPr>
            <w:tcW w:w="567"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extDirection w:val="btLr"/>
            <w:vAlign w:val="center"/>
          </w:tcPr>
          <w:p w:rsidR="00733BAF" w:rsidRDefault="00733BAF">
            <w:pPr>
              <w:spacing w:line="259" w:lineRule="auto"/>
              <w:ind w:left="4" w:right="113"/>
              <w:jc w:val="center"/>
              <w:rPr>
                <w:rFonts w:ascii="Times New Roman" w:hAnsi="Times New Roman" w:cs="Times New Roman"/>
                <w:sz w:val="16"/>
                <w:szCs w:val="16"/>
              </w:rPr>
            </w:pPr>
            <w:r>
              <w:rPr>
                <w:rFonts w:ascii="Times New Roman" w:hAnsi="Times New Roman" w:cs="Times New Roman"/>
                <w:sz w:val="16"/>
                <w:szCs w:val="16"/>
              </w:rPr>
              <w:t>BAG</w:t>
            </w:r>
          </w:p>
        </w:tc>
        <w:tc>
          <w:tcPr>
            <w:tcW w:w="1134" w:type="dxa"/>
            <w:tcBorders>
              <w:top w:val="single" w:sz="4" w:space="0" w:color="auto"/>
              <w:left w:val="single" w:sz="4" w:space="0" w:color="auto"/>
              <w:bottom w:val="single" w:sz="4" w:space="0" w:color="auto"/>
              <w:right w:val="single" w:sz="4" w:space="0" w:color="auto"/>
            </w:tcBorders>
            <w:vAlign w:val="center"/>
          </w:tcPr>
          <w:p w:rsidR="00733BAF" w:rsidRDefault="00733BAF">
            <w:pPr>
              <w:spacing w:after="160" w:line="259" w:lineRule="auto"/>
              <w:jc w:val="center"/>
              <w:rPr>
                <w:rFonts w:ascii="Times New Roman" w:hAnsi="Times New Roman" w:cs="Times New Roman"/>
                <w:sz w:val="24"/>
              </w:rPr>
            </w:pPr>
            <w:r>
              <w:rPr>
                <w:rFonts w:ascii="Times New Roman" w:hAnsi="Times New Roman" w:cs="Times New Roman"/>
                <w:sz w:val="24"/>
              </w:rPr>
              <w:t>TOTAL</w:t>
            </w:r>
          </w:p>
        </w:tc>
      </w:tr>
      <w:tr w:rsidR="00733BAF" w:rsidTr="00733BAF">
        <w:trPr>
          <w:cantSplit/>
          <w:trHeight w:val="2383"/>
        </w:trPr>
        <w:tc>
          <w:tcPr>
            <w:tcW w:w="567" w:type="dxa"/>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ind w:right="28"/>
              <w:jc w:val="center"/>
              <w:rPr>
                <w:rFonts w:ascii="Times New Roman" w:hAnsi="Times New Roman" w:cs="Times New Roman"/>
                <w:sz w:val="24"/>
              </w:rPr>
            </w:pPr>
            <w:proofErr w:type="gramStart"/>
            <w:r>
              <w:rPr>
                <w:rFonts w:ascii="Times New Roman" w:hAnsi="Times New Roman" w:cs="Times New Roman"/>
                <w:sz w:val="18"/>
              </w:rPr>
              <w:t>1</w:t>
            </w:r>
            <w:proofErr w:type="gramEnd"/>
            <w:r>
              <w:rPr>
                <w:rFonts w:ascii="Times New Roman" w:hAnsi="Times New Roman" w:cs="Times New Roman"/>
                <w:sz w:val="18"/>
              </w:rPr>
              <w:t xml:space="preserve"> </w:t>
            </w:r>
          </w:p>
        </w:tc>
        <w:tc>
          <w:tcPr>
            <w:tcW w:w="2978" w:type="dxa"/>
            <w:tcBorders>
              <w:top w:val="single" w:sz="4" w:space="0" w:color="000000"/>
              <w:left w:val="single" w:sz="4" w:space="0" w:color="000000"/>
              <w:bottom w:val="single" w:sz="4" w:space="0" w:color="000000"/>
              <w:right w:val="single" w:sz="4" w:space="0" w:color="000000"/>
            </w:tcBorders>
          </w:tcPr>
          <w:p w:rsidR="00733BAF" w:rsidRDefault="00733BAF" w:rsidP="00733BAF">
            <w:pPr>
              <w:spacing w:line="259" w:lineRule="auto"/>
              <w:jc w:val="both"/>
              <w:rPr>
                <w:rFonts w:ascii="Times New Roman" w:hAnsi="Times New Roman" w:cs="Times New Roman"/>
                <w:sz w:val="24"/>
              </w:rPr>
            </w:pPr>
            <w:r>
              <w:rPr>
                <w:rFonts w:ascii="Times New Roman" w:hAnsi="Times New Roman" w:cs="Times New Roman"/>
                <w:sz w:val="16"/>
                <w:szCs w:val="16"/>
              </w:rPr>
              <w:t xml:space="preserve">Gás liquefeito de petróleo (GLP P13), botijão com 13 kg, aplicação gás de cozinha, com inscrição em alto relevo com a marca da distribuidora, mês e ano de fabricação, rótulo com instrução de uso, nome, e telefone da distribuidora. Fornecimento do gás a base de troca dos vasilhames, os quais não poderão ser amassados ou enferrujados. Produto em conformidade com as normas de ANP – Agência Nacional do Petróleo e ABNT vigentes.  </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733BAF" w:rsidRDefault="00733BAF">
            <w:pPr>
              <w:spacing w:line="259" w:lineRule="auto"/>
              <w:ind w:left="5" w:right="113"/>
              <w:jc w:val="center"/>
              <w:rPr>
                <w:rFonts w:ascii="Times New Roman" w:hAnsi="Times New Roman" w:cs="Times New Roman"/>
                <w:sz w:val="24"/>
              </w:rPr>
            </w:pPr>
            <w:r>
              <w:rPr>
                <w:rFonts w:ascii="Times New Roman" w:hAnsi="Times New Roman" w:cs="Times New Roman"/>
                <w:color w:val="000000"/>
                <w:sz w:val="16"/>
                <w:szCs w:val="16"/>
              </w:rPr>
              <w:t>BR0047678</w:t>
            </w:r>
          </w:p>
        </w:tc>
        <w:tc>
          <w:tcPr>
            <w:tcW w:w="992" w:type="dxa"/>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jc w:val="center"/>
              <w:rPr>
                <w:rFonts w:ascii="Times New Roman" w:hAnsi="Times New Roman" w:cs="Times New Roman"/>
                <w:sz w:val="24"/>
              </w:rPr>
            </w:pPr>
            <w:r>
              <w:rPr>
                <w:rFonts w:ascii="Times New Roman" w:hAnsi="Times New Roman" w:cs="Times New Roman"/>
                <w:sz w:val="18"/>
              </w:rPr>
              <w:t>Botijão com 13 kg</w:t>
            </w:r>
          </w:p>
        </w:tc>
        <w:tc>
          <w:tcPr>
            <w:tcW w:w="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33BAF" w:rsidRDefault="00733BAF">
            <w:pPr>
              <w:spacing w:line="259" w:lineRule="auto"/>
              <w:ind w:right="24"/>
              <w:jc w:val="center"/>
              <w:rPr>
                <w:rFonts w:ascii="Times New Roman" w:hAnsi="Times New Roman" w:cs="Times New Roman"/>
                <w:sz w:val="18"/>
                <w:szCs w:val="16"/>
              </w:rPr>
            </w:pPr>
            <w:r>
              <w:rPr>
                <w:rFonts w:ascii="Times New Roman" w:hAnsi="Times New Roman" w:cs="Times New Roman"/>
                <w:sz w:val="18"/>
                <w:szCs w:val="16"/>
              </w:rPr>
              <w:t>15</w:t>
            </w:r>
          </w:p>
        </w:tc>
        <w:tc>
          <w:tcPr>
            <w:tcW w:w="42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733BAF" w:rsidRDefault="00733BAF">
            <w:pPr>
              <w:spacing w:line="259" w:lineRule="auto"/>
              <w:ind w:right="25"/>
              <w:jc w:val="center"/>
              <w:rPr>
                <w:rFonts w:ascii="Times New Roman" w:hAnsi="Times New Roman" w:cs="Times New Roman"/>
                <w:sz w:val="18"/>
                <w:szCs w:val="16"/>
              </w:rPr>
            </w:pPr>
            <w:r>
              <w:rPr>
                <w:rFonts w:ascii="Times New Roman" w:hAnsi="Times New Roman" w:cs="Times New Roman"/>
                <w:sz w:val="18"/>
                <w:szCs w:val="16"/>
              </w:rPr>
              <w:t>50</w:t>
            </w:r>
          </w:p>
        </w:tc>
        <w:tc>
          <w:tcPr>
            <w:tcW w:w="42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14</w:t>
            </w:r>
          </w:p>
        </w:tc>
        <w:tc>
          <w:tcPr>
            <w:tcW w:w="42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40</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50</w:t>
            </w:r>
          </w:p>
        </w:tc>
        <w:tc>
          <w:tcPr>
            <w:tcW w:w="426"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rsidR="00733BAF" w:rsidRDefault="00733BAF">
            <w:pPr>
              <w:spacing w:line="259" w:lineRule="auto"/>
              <w:ind w:right="19"/>
              <w:jc w:val="center"/>
              <w:rPr>
                <w:rFonts w:ascii="Times New Roman" w:hAnsi="Times New Roman" w:cs="Times New Roman"/>
                <w:sz w:val="18"/>
                <w:szCs w:val="16"/>
              </w:rPr>
            </w:pPr>
            <w:r>
              <w:rPr>
                <w:rFonts w:ascii="Times New Roman" w:hAnsi="Times New Roman" w:cs="Times New Roman"/>
                <w:sz w:val="18"/>
                <w:szCs w:val="16"/>
              </w:rPr>
              <w:t>100</w:t>
            </w:r>
          </w:p>
        </w:tc>
        <w:tc>
          <w:tcPr>
            <w:tcW w:w="425"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733BAF" w:rsidRDefault="00733BAF">
            <w:pPr>
              <w:spacing w:line="259" w:lineRule="auto"/>
              <w:ind w:right="20"/>
              <w:jc w:val="center"/>
              <w:rPr>
                <w:rFonts w:ascii="Times New Roman" w:hAnsi="Times New Roman" w:cs="Times New Roman"/>
                <w:sz w:val="18"/>
                <w:szCs w:val="16"/>
              </w:rPr>
            </w:pPr>
            <w:r>
              <w:rPr>
                <w:rFonts w:ascii="Times New Roman" w:hAnsi="Times New Roman" w:cs="Times New Roman"/>
                <w:sz w:val="18"/>
                <w:szCs w:val="16"/>
              </w:rPr>
              <w:t>15</w:t>
            </w:r>
          </w:p>
        </w:tc>
        <w:tc>
          <w:tcPr>
            <w:tcW w:w="142" w:type="dxa"/>
            <w:tcBorders>
              <w:top w:val="single" w:sz="4" w:space="0" w:color="000000"/>
              <w:left w:val="single" w:sz="4" w:space="0" w:color="000000"/>
              <w:bottom w:val="single" w:sz="4" w:space="0" w:color="000000"/>
              <w:right w:val="nil"/>
            </w:tcBorders>
            <w:shd w:val="clear" w:color="auto" w:fill="FFFFFF" w:themeFill="background1"/>
            <w:vAlign w:val="center"/>
          </w:tcPr>
          <w:p w:rsidR="00733BAF" w:rsidRDefault="00733BAF">
            <w:pPr>
              <w:spacing w:line="259" w:lineRule="auto"/>
              <w:ind w:right="6"/>
              <w:jc w:val="center"/>
              <w:rPr>
                <w:rFonts w:ascii="Times New Roman" w:hAnsi="Times New Roman" w:cs="Times New Roman"/>
                <w:sz w:val="18"/>
                <w:szCs w:val="16"/>
              </w:rPr>
            </w:pPr>
          </w:p>
        </w:tc>
        <w:tc>
          <w:tcPr>
            <w:tcW w:w="567" w:type="dxa"/>
            <w:tcBorders>
              <w:top w:val="single" w:sz="4" w:space="0" w:color="000000"/>
              <w:left w:val="nil"/>
              <w:bottom w:val="single" w:sz="4" w:space="0" w:color="000000"/>
              <w:right w:val="single" w:sz="4" w:space="0" w:color="000000"/>
            </w:tcBorders>
            <w:shd w:val="clear" w:color="auto" w:fill="F79646" w:themeFill="accent6"/>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733BAF" w:rsidRDefault="00733BAF">
            <w:pPr>
              <w:spacing w:line="259" w:lineRule="auto"/>
              <w:ind w:right="19"/>
              <w:jc w:val="center"/>
              <w:rPr>
                <w:rFonts w:ascii="Times New Roman" w:hAnsi="Times New Roman" w:cs="Times New Roman"/>
                <w:sz w:val="18"/>
                <w:szCs w:val="16"/>
              </w:rPr>
            </w:pPr>
            <w:r>
              <w:rPr>
                <w:rFonts w:ascii="Times New Roman" w:hAnsi="Times New Roman" w:cs="Times New Roman"/>
                <w:sz w:val="18"/>
                <w:szCs w:val="16"/>
              </w:rPr>
              <w:t>25</w:t>
            </w:r>
          </w:p>
        </w:tc>
        <w:tc>
          <w:tcPr>
            <w:tcW w:w="42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733BAF" w:rsidRDefault="00733BAF">
            <w:pPr>
              <w:spacing w:line="259" w:lineRule="auto"/>
              <w:ind w:right="24"/>
              <w:jc w:val="center"/>
              <w:rPr>
                <w:rFonts w:ascii="Times New Roman" w:hAnsi="Times New Roman" w:cs="Times New Roman"/>
                <w:sz w:val="18"/>
                <w:szCs w:val="16"/>
              </w:rPr>
            </w:pPr>
            <w:r>
              <w:rPr>
                <w:rFonts w:ascii="Times New Roman" w:hAnsi="Times New Roman" w:cs="Times New Roman"/>
                <w:sz w:val="18"/>
                <w:szCs w:val="16"/>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3BAF" w:rsidRDefault="00733BAF">
            <w:pPr>
              <w:spacing w:line="259" w:lineRule="auto"/>
              <w:ind w:right="19"/>
              <w:jc w:val="center"/>
              <w:rPr>
                <w:rFonts w:ascii="Times New Roman" w:hAnsi="Times New Roman" w:cs="Times New Roman"/>
                <w:sz w:val="18"/>
                <w:szCs w:val="16"/>
              </w:rPr>
            </w:pPr>
            <w:r>
              <w:rPr>
                <w:rFonts w:ascii="Times New Roman" w:hAnsi="Times New Roman" w:cs="Times New Roman"/>
                <w:sz w:val="18"/>
                <w:szCs w:val="16"/>
              </w:rPr>
              <w:t>06</w:t>
            </w:r>
          </w:p>
        </w:tc>
        <w:tc>
          <w:tcPr>
            <w:tcW w:w="56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33BAF" w:rsidRDefault="00733BAF">
            <w:pPr>
              <w:spacing w:line="259" w:lineRule="auto"/>
              <w:ind w:right="21"/>
              <w:jc w:val="center"/>
              <w:rPr>
                <w:rFonts w:ascii="Times New Roman" w:hAnsi="Times New Roman" w:cs="Times New Roman"/>
                <w:sz w:val="18"/>
                <w:szCs w:val="16"/>
              </w:rPr>
            </w:pPr>
            <w:r>
              <w:rPr>
                <w:rFonts w:ascii="Times New Roman" w:hAnsi="Times New Roman" w:cs="Times New Roman"/>
                <w:sz w:val="18"/>
                <w:szCs w:val="16"/>
              </w:rPr>
              <w:t>40</w:t>
            </w:r>
          </w:p>
        </w:tc>
        <w:tc>
          <w:tcPr>
            <w:tcW w:w="567" w:type="dxa"/>
            <w:tcBorders>
              <w:top w:val="single" w:sz="4" w:space="0" w:color="000000"/>
              <w:left w:val="single" w:sz="4" w:space="0" w:color="000000"/>
              <w:bottom w:val="single" w:sz="4" w:space="0" w:color="000000"/>
              <w:right w:val="single" w:sz="4" w:space="0" w:color="000000"/>
            </w:tcBorders>
            <w:shd w:val="clear" w:color="auto" w:fill="C00000"/>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120</w:t>
            </w:r>
          </w:p>
        </w:tc>
        <w:tc>
          <w:tcPr>
            <w:tcW w:w="56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rsidR="00733BAF" w:rsidRDefault="00733BAF">
            <w:pPr>
              <w:spacing w:line="259" w:lineRule="auto"/>
              <w:ind w:right="20"/>
              <w:jc w:val="center"/>
              <w:rPr>
                <w:rFonts w:ascii="Times New Roman" w:hAnsi="Times New Roman" w:cs="Times New Roman"/>
                <w:sz w:val="18"/>
                <w:szCs w:val="16"/>
              </w:rPr>
            </w:pPr>
            <w:r>
              <w:rPr>
                <w:rFonts w:ascii="Times New Roman" w:hAnsi="Times New Roman" w:cs="Times New Roman"/>
                <w:sz w:val="18"/>
                <w:szCs w:val="16"/>
              </w:rPr>
              <w:t>07</w:t>
            </w:r>
          </w:p>
        </w:tc>
        <w:tc>
          <w:tcPr>
            <w:tcW w:w="567"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733BAF" w:rsidRDefault="00733BAF">
            <w:pPr>
              <w:spacing w:line="259" w:lineRule="auto"/>
              <w:ind w:right="20"/>
              <w:jc w:val="center"/>
              <w:rPr>
                <w:rFonts w:ascii="Times New Roman" w:hAnsi="Times New Roman" w:cs="Times New Roman"/>
                <w:sz w:val="18"/>
                <w:szCs w:val="16"/>
              </w:rPr>
            </w:pPr>
            <w:r>
              <w:rPr>
                <w:rFonts w:ascii="Times New Roman" w:hAnsi="Times New Roman" w:cs="Times New Roman"/>
                <w:sz w:val="18"/>
                <w:szCs w:val="16"/>
              </w:rPr>
              <w:t>24</w:t>
            </w:r>
          </w:p>
        </w:tc>
        <w:tc>
          <w:tcPr>
            <w:tcW w:w="567"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vAlign w:val="center"/>
          </w:tcPr>
          <w:p w:rsidR="00733BAF" w:rsidRDefault="00733BAF">
            <w:pPr>
              <w:spacing w:line="259" w:lineRule="auto"/>
              <w:ind w:right="20"/>
              <w:jc w:val="center"/>
              <w:rPr>
                <w:rFonts w:ascii="Times New Roman" w:hAnsi="Times New Roman" w:cs="Times New Roman"/>
                <w:b/>
                <w:sz w:val="18"/>
                <w:szCs w:val="16"/>
              </w:rPr>
            </w:pPr>
            <w:proofErr w:type="gramStart"/>
            <w:r>
              <w:rPr>
                <w:rFonts w:ascii="Times New Roman" w:hAnsi="Times New Roman" w:cs="Times New Roman"/>
                <w:b/>
                <w:sz w:val="18"/>
                <w:szCs w:val="16"/>
              </w:rPr>
              <w:t>4</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vAlign w:val="center"/>
          </w:tcPr>
          <w:p w:rsidR="00733BAF" w:rsidRDefault="00733BAF">
            <w:pPr>
              <w:spacing w:line="259" w:lineRule="auto"/>
              <w:ind w:right="22"/>
              <w:jc w:val="center"/>
              <w:rPr>
                <w:rFonts w:ascii="Times New Roman" w:hAnsi="Times New Roman" w:cs="Times New Roman"/>
                <w:sz w:val="18"/>
                <w:szCs w:val="16"/>
              </w:rPr>
            </w:pPr>
          </w:p>
        </w:tc>
        <w:tc>
          <w:tcPr>
            <w:tcW w:w="1134" w:type="dxa"/>
            <w:tcBorders>
              <w:top w:val="single" w:sz="4" w:space="0" w:color="auto"/>
              <w:left w:val="single" w:sz="4" w:space="0" w:color="000000"/>
              <w:bottom w:val="single" w:sz="4" w:space="0" w:color="000000"/>
              <w:right w:val="single" w:sz="4" w:space="0" w:color="000000"/>
            </w:tcBorders>
            <w:vAlign w:val="center"/>
          </w:tcPr>
          <w:p w:rsidR="00733BAF" w:rsidRDefault="00733BAF">
            <w:pPr>
              <w:spacing w:line="259" w:lineRule="auto"/>
              <w:ind w:right="18"/>
              <w:jc w:val="center"/>
              <w:rPr>
                <w:rFonts w:ascii="Times New Roman" w:hAnsi="Times New Roman" w:cs="Times New Roman"/>
                <w:sz w:val="18"/>
                <w:szCs w:val="16"/>
              </w:rPr>
            </w:pPr>
            <w:r>
              <w:rPr>
                <w:rFonts w:ascii="Times New Roman" w:hAnsi="Times New Roman" w:cs="Times New Roman"/>
                <w:sz w:val="18"/>
                <w:szCs w:val="16"/>
              </w:rPr>
              <w:t>707</w:t>
            </w:r>
          </w:p>
        </w:tc>
      </w:tr>
      <w:tr w:rsidR="00733BAF" w:rsidTr="00733BAF">
        <w:trPr>
          <w:cantSplit/>
          <w:trHeight w:val="2383"/>
        </w:trPr>
        <w:tc>
          <w:tcPr>
            <w:tcW w:w="567" w:type="dxa"/>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ind w:right="28"/>
              <w:jc w:val="center"/>
              <w:rPr>
                <w:rFonts w:ascii="Times New Roman" w:hAnsi="Times New Roman" w:cs="Times New Roman"/>
                <w:sz w:val="24"/>
              </w:rPr>
            </w:pPr>
            <w:proofErr w:type="gramStart"/>
            <w:r>
              <w:rPr>
                <w:rFonts w:ascii="Times New Roman" w:hAnsi="Times New Roman" w:cs="Times New Roman"/>
                <w:sz w:val="18"/>
              </w:rPr>
              <w:lastRenderedPageBreak/>
              <w:t>2</w:t>
            </w:r>
            <w:proofErr w:type="gramEnd"/>
            <w:r>
              <w:rPr>
                <w:rFonts w:ascii="Times New Roman" w:hAnsi="Times New Roman" w:cs="Times New Roman"/>
                <w:sz w:val="18"/>
              </w:rPr>
              <w:t xml:space="preserve"> </w:t>
            </w:r>
          </w:p>
        </w:tc>
        <w:tc>
          <w:tcPr>
            <w:tcW w:w="2978" w:type="dxa"/>
            <w:tcBorders>
              <w:top w:val="single" w:sz="4" w:space="0" w:color="000000"/>
              <w:left w:val="single" w:sz="4" w:space="0" w:color="000000"/>
              <w:bottom w:val="single" w:sz="4" w:space="0" w:color="000000"/>
              <w:right w:val="single" w:sz="4" w:space="0" w:color="000000"/>
            </w:tcBorders>
          </w:tcPr>
          <w:p w:rsidR="00733BAF" w:rsidRDefault="00733BAF">
            <w:pPr>
              <w:spacing w:line="259" w:lineRule="auto"/>
              <w:jc w:val="center"/>
              <w:rPr>
                <w:rFonts w:ascii="Times New Roman" w:hAnsi="Times New Roman" w:cs="Times New Roman"/>
                <w:sz w:val="24"/>
              </w:rPr>
            </w:pPr>
            <w:r>
              <w:rPr>
                <w:rFonts w:ascii="Times New Roman" w:hAnsi="Times New Roman" w:cs="Times New Roman"/>
                <w:sz w:val="16"/>
                <w:szCs w:val="16"/>
              </w:rPr>
              <w:t xml:space="preserve">Gás liquefeito de petróleo (GLP P45), botijão com 45 kg, aplicação gás de cozinha, com inscrição em alto relevo com a marca da distribuidora, mês e ano de fabricação, rótulo com instrução de uso, nome, e telefone da distribuidora. Fornecimento do </w:t>
            </w:r>
            <w:proofErr w:type="spellStart"/>
            <w:r>
              <w:rPr>
                <w:rFonts w:ascii="Times New Roman" w:hAnsi="Times New Roman" w:cs="Times New Roman"/>
                <w:sz w:val="16"/>
                <w:szCs w:val="16"/>
              </w:rPr>
              <w:t>gas</w:t>
            </w:r>
            <w:proofErr w:type="spellEnd"/>
            <w:r>
              <w:rPr>
                <w:rFonts w:ascii="Times New Roman" w:hAnsi="Times New Roman" w:cs="Times New Roman"/>
                <w:sz w:val="16"/>
                <w:szCs w:val="16"/>
              </w:rPr>
              <w:t xml:space="preserve"> a base de troca dos vasilhames, os quais não poderão estar amassados ou enferrujados. Produto em conformidade com as normas de ANP – Agência Nacional do Petróleo e ABNT vigentes.</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733BAF" w:rsidRDefault="00733BAF">
            <w:pPr>
              <w:spacing w:line="259" w:lineRule="auto"/>
              <w:ind w:left="5" w:right="113"/>
              <w:jc w:val="center"/>
              <w:rPr>
                <w:rFonts w:ascii="Times New Roman" w:hAnsi="Times New Roman" w:cs="Times New Roman"/>
                <w:sz w:val="24"/>
              </w:rPr>
            </w:pPr>
            <w:r>
              <w:rPr>
                <w:rFonts w:ascii="Times New Roman" w:hAnsi="Times New Roman" w:cs="Times New Roman"/>
                <w:color w:val="000000"/>
                <w:sz w:val="16"/>
                <w:szCs w:val="16"/>
              </w:rPr>
              <w:t>BR0047678</w:t>
            </w:r>
          </w:p>
        </w:tc>
        <w:tc>
          <w:tcPr>
            <w:tcW w:w="992" w:type="dxa"/>
            <w:tcBorders>
              <w:top w:val="single" w:sz="4" w:space="0" w:color="000000"/>
              <w:left w:val="single" w:sz="4" w:space="0" w:color="000000"/>
              <w:bottom w:val="single" w:sz="4" w:space="0" w:color="000000"/>
              <w:right w:val="single" w:sz="4" w:space="0" w:color="000000"/>
            </w:tcBorders>
            <w:vAlign w:val="center"/>
          </w:tcPr>
          <w:p w:rsidR="00733BAF" w:rsidRDefault="00733BAF">
            <w:pPr>
              <w:spacing w:line="259" w:lineRule="auto"/>
              <w:jc w:val="center"/>
              <w:rPr>
                <w:rFonts w:ascii="Times New Roman" w:hAnsi="Times New Roman" w:cs="Times New Roman"/>
                <w:sz w:val="24"/>
              </w:rPr>
            </w:pPr>
            <w:r>
              <w:rPr>
                <w:rFonts w:ascii="Times New Roman" w:hAnsi="Times New Roman" w:cs="Times New Roman"/>
                <w:sz w:val="18"/>
              </w:rPr>
              <w:t>Botijão com 45 kg</w:t>
            </w:r>
          </w:p>
        </w:tc>
        <w:tc>
          <w:tcPr>
            <w:tcW w:w="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33BAF" w:rsidRDefault="00733BAF">
            <w:pPr>
              <w:spacing w:line="259" w:lineRule="auto"/>
              <w:ind w:right="21"/>
              <w:jc w:val="center"/>
              <w:rPr>
                <w:rFonts w:ascii="Times New Roman" w:hAnsi="Times New Roman" w:cs="Times New Roman"/>
                <w:sz w:val="18"/>
                <w:szCs w:val="16"/>
              </w:rPr>
            </w:pPr>
            <w:r>
              <w:rPr>
                <w:rFonts w:ascii="Times New Roman" w:hAnsi="Times New Roman" w:cs="Times New Roman"/>
                <w:sz w:val="18"/>
                <w:szCs w:val="16"/>
              </w:rPr>
              <w:t>200</w:t>
            </w:r>
          </w:p>
        </w:tc>
        <w:tc>
          <w:tcPr>
            <w:tcW w:w="42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733BAF" w:rsidRDefault="00733BAF">
            <w:pPr>
              <w:spacing w:line="259" w:lineRule="auto"/>
              <w:ind w:right="22"/>
              <w:jc w:val="center"/>
              <w:rPr>
                <w:rFonts w:ascii="Times New Roman" w:hAnsi="Times New Roman" w:cs="Times New Roman"/>
                <w:sz w:val="18"/>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733BAF" w:rsidRDefault="00733BAF">
            <w:pPr>
              <w:spacing w:line="259" w:lineRule="auto"/>
              <w:ind w:right="22"/>
              <w:jc w:val="center"/>
              <w:rPr>
                <w:rFonts w:ascii="Times New Roman" w:hAnsi="Times New Roman" w:cs="Times New Roman"/>
                <w:sz w:val="18"/>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rsidR="00733BAF" w:rsidRDefault="00733BAF">
            <w:pPr>
              <w:spacing w:line="259" w:lineRule="auto"/>
              <w:ind w:right="22"/>
              <w:jc w:val="center"/>
              <w:rPr>
                <w:rFonts w:ascii="Times New Roman" w:hAnsi="Times New Roman" w:cs="Times New Roman"/>
                <w:sz w:val="18"/>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733BAF" w:rsidRDefault="00733BAF">
            <w:pPr>
              <w:spacing w:line="259" w:lineRule="auto"/>
              <w:ind w:right="22"/>
              <w:jc w:val="center"/>
              <w:rPr>
                <w:rFonts w:ascii="Times New Roman" w:hAnsi="Times New Roman" w:cs="Times New Roman"/>
                <w:sz w:val="18"/>
                <w:szCs w:val="16"/>
              </w:rPr>
            </w:pPr>
            <w:r>
              <w:rPr>
                <w:rFonts w:ascii="Times New Roman" w:hAnsi="Times New Roman" w:cs="Times New Roman"/>
                <w:sz w:val="18"/>
                <w:szCs w:val="16"/>
              </w:rPr>
              <w:t>10</w:t>
            </w:r>
          </w:p>
        </w:tc>
        <w:tc>
          <w:tcPr>
            <w:tcW w:w="426"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rsidR="00733BAF" w:rsidRDefault="00733BAF">
            <w:pPr>
              <w:spacing w:line="259" w:lineRule="auto"/>
              <w:ind w:right="21"/>
              <w:jc w:val="center"/>
              <w:rPr>
                <w:rFonts w:ascii="Times New Roman" w:hAnsi="Times New Roman" w:cs="Times New Roman"/>
                <w:sz w:val="18"/>
                <w:szCs w:val="16"/>
              </w:rPr>
            </w:pPr>
            <w:r>
              <w:rPr>
                <w:rFonts w:ascii="Times New Roman" w:hAnsi="Times New Roman" w:cs="Times New Roman"/>
                <w:sz w:val="18"/>
                <w:szCs w:val="16"/>
              </w:rPr>
              <w:t>230</w:t>
            </w:r>
          </w:p>
        </w:tc>
        <w:tc>
          <w:tcPr>
            <w:tcW w:w="425"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rsidR="00733BAF" w:rsidRDefault="00733BAF">
            <w:pPr>
              <w:spacing w:line="259" w:lineRule="auto"/>
              <w:ind w:right="22"/>
              <w:jc w:val="center"/>
              <w:rPr>
                <w:rFonts w:ascii="Times New Roman" w:hAnsi="Times New Roman" w:cs="Times New Roman"/>
                <w:sz w:val="18"/>
                <w:szCs w:val="16"/>
              </w:rPr>
            </w:pPr>
          </w:p>
        </w:tc>
        <w:tc>
          <w:tcPr>
            <w:tcW w:w="142" w:type="dxa"/>
            <w:tcBorders>
              <w:top w:val="single" w:sz="4" w:space="0" w:color="000000"/>
              <w:left w:val="single" w:sz="4" w:space="0" w:color="000000"/>
              <w:bottom w:val="single" w:sz="4" w:space="0" w:color="000000"/>
              <w:right w:val="nil"/>
            </w:tcBorders>
            <w:shd w:val="clear" w:color="auto" w:fill="FFFFFF" w:themeFill="background1"/>
            <w:vAlign w:val="center"/>
          </w:tcPr>
          <w:p w:rsidR="00733BAF" w:rsidRDefault="00733BAF">
            <w:pPr>
              <w:spacing w:line="259" w:lineRule="auto"/>
              <w:ind w:right="6"/>
              <w:jc w:val="center"/>
              <w:rPr>
                <w:rFonts w:ascii="Times New Roman" w:hAnsi="Times New Roman" w:cs="Times New Roman"/>
                <w:sz w:val="18"/>
                <w:szCs w:val="16"/>
              </w:rPr>
            </w:pPr>
          </w:p>
        </w:tc>
        <w:tc>
          <w:tcPr>
            <w:tcW w:w="567" w:type="dxa"/>
            <w:tcBorders>
              <w:top w:val="single" w:sz="4" w:space="0" w:color="000000"/>
              <w:left w:val="nil"/>
              <w:bottom w:val="single" w:sz="4" w:space="0" w:color="000000"/>
              <w:right w:val="single" w:sz="4" w:space="0" w:color="000000"/>
            </w:tcBorders>
            <w:shd w:val="clear" w:color="auto" w:fill="F79646" w:themeFill="accent6"/>
            <w:vAlign w:val="center"/>
          </w:tcPr>
          <w:p w:rsidR="00733BAF" w:rsidRDefault="00733BAF">
            <w:pPr>
              <w:spacing w:line="259" w:lineRule="auto"/>
              <w:ind w:right="25"/>
              <w:jc w:val="center"/>
              <w:rPr>
                <w:rFonts w:ascii="Times New Roman" w:hAnsi="Times New Roman" w:cs="Times New Roman"/>
                <w:sz w:val="18"/>
                <w:szCs w:val="16"/>
              </w:rPr>
            </w:pPr>
            <w:proofErr w:type="gramStart"/>
            <w:r>
              <w:rPr>
                <w:rFonts w:ascii="Times New Roman" w:hAnsi="Times New Roman" w:cs="Times New Roman"/>
                <w:sz w:val="18"/>
                <w:szCs w:val="16"/>
              </w:rPr>
              <w:t>4</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733BAF" w:rsidRDefault="00733BAF">
            <w:pPr>
              <w:spacing w:line="259" w:lineRule="auto"/>
              <w:ind w:right="21"/>
              <w:jc w:val="center"/>
              <w:rPr>
                <w:rFonts w:ascii="Times New Roman" w:hAnsi="Times New Roman" w:cs="Times New Roman"/>
                <w:sz w:val="18"/>
                <w:szCs w:val="16"/>
              </w:rPr>
            </w:pPr>
            <w:r>
              <w:rPr>
                <w:rFonts w:ascii="Times New Roman" w:hAnsi="Times New Roman" w:cs="Times New Roman"/>
                <w:sz w:val="18"/>
                <w:szCs w:val="16"/>
              </w:rPr>
              <w:t>160</w:t>
            </w:r>
          </w:p>
        </w:tc>
        <w:tc>
          <w:tcPr>
            <w:tcW w:w="42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733BAF" w:rsidRDefault="00733BAF">
            <w:pPr>
              <w:spacing w:line="259" w:lineRule="auto"/>
              <w:ind w:right="21"/>
              <w:jc w:val="center"/>
              <w:rPr>
                <w:rFonts w:ascii="Times New Roman" w:hAnsi="Times New Roman" w:cs="Times New Roman"/>
                <w:sz w:val="18"/>
                <w:szCs w:val="16"/>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3BAF" w:rsidRDefault="00733BAF">
            <w:pPr>
              <w:spacing w:line="259" w:lineRule="auto"/>
              <w:ind w:right="21"/>
              <w:jc w:val="center"/>
              <w:rPr>
                <w:rFonts w:ascii="Times New Roman" w:hAnsi="Times New Roman" w:cs="Times New Roman"/>
                <w:sz w:val="18"/>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33BAF" w:rsidRDefault="00733BAF">
            <w:pPr>
              <w:spacing w:line="259" w:lineRule="auto"/>
              <w:ind w:right="23"/>
              <w:jc w:val="center"/>
              <w:rPr>
                <w:rFonts w:ascii="Times New Roman" w:hAnsi="Times New Roman" w:cs="Times New Roman"/>
                <w:sz w:val="18"/>
                <w:szCs w:val="16"/>
              </w:rPr>
            </w:pPr>
            <w:r>
              <w:rPr>
                <w:rFonts w:ascii="Times New Roman" w:hAnsi="Times New Roman" w:cs="Times New Roman"/>
                <w:sz w:val="18"/>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C00000"/>
            <w:vAlign w:val="center"/>
          </w:tcPr>
          <w:p w:rsidR="00733BAF" w:rsidRDefault="00733BAF">
            <w:pPr>
              <w:spacing w:line="259" w:lineRule="auto"/>
              <w:ind w:right="27"/>
              <w:jc w:val="center"/>
              <w:rPr>
                <w:rFonts w:ascii="Times New Roman" w:hAnsi="Times New Roman" w:cs="Times New Roman"/>
                <w:sz w:val="18"/>
                <w:szCs w:val="16"/>
              </w:rPr>
            </w:pPr>
            <w:r>
              <w:rPr>
                <w:rFonts w:ascii="Times New Roman" w:hAnsi="Times New Roman" w:cs="Times New Roman"/>
                <w:sz w:val="18"/>
                <w:szCs w:val="16"/>
              </w:rPr>
              <w:t>300</w:t>
            </w:r>
          </w:p>
        </w:tc>
        <w:tc>
          <w:tcPr>
            <w:tcW w:w="56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r>
              <w:rPr>
                <w:rFonts w:ascii="Times New Roman" w:hAnsi="Times New Roman" w:cs="Times New Roman"/>
                <w:sz w:val="18"/>
                <w:szCs w:val="16"/>
              </w:rPr>
              <w:t>-</w:t>
            </w:r>
          </w:p>
        </w:tc>
        <w:tc>
          <w:tcPr>
            <w:tcW w:w="567"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
          <w:p w:rsidR="00733BAF" w:rsidRDefault="00733BAF">
            <w:pPr>
              <w:spacing w:line="259" w:lineRule="auto"/>
              <w:ind w:right="20"/>
              <w:jc w:val="center"/>
              <w:rPr>
                <w:rFonts w:ascii="Times New Roman" w:hAnsi="Times New Roman" w:cs="Times New Roman"/>
                <w:sz w:val="18"/>
                <w:szCs w:val="16"/>
              </w:rPr>
            </w:pPr>
            <w:proofErr w:type="gramStart"/>
            <w:r>
              <w:rPr>
                <w:rFonts w:ascii="Times New Roman" w:hAnsi="Times New Roman" w:cs="Times New Roman"/>
                <w:sz w:val="18"/>
                <w:szCs w:val="16"/>
              </w:rPr>
              <w:t>5</w:t>
            </w:r>
            <w:proofErr w:type="gramEnd"/>
          </w:p>
          <w:p w:rsidR="00733BAF" w:rsidRDefault="00733BAF">
            <w:pPr>
              <w:spacing w:line="259" w:lineRule="auto"/>
              <w:ind w:right="20"/>
              <w:jc w:val="center"/>
              <w:rPr>
                <w:rFonts w:ascii="Times New Roman" w:hAnsi="Times New Roman" w:cs="Times New Roman"/>
                <w:sz w:val="18"/>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vAlign w:val="center"/>
          </w:tcPr>
          <w:p w:rsidR="00733BAF" w:rsidRDefault="00733BAF">
            <w:pPr>
              <w:spacing w:line="259" w:lineRule="auto"/>
              <w:ind w:right="20"/>
              <w:jc w:val="center"/>
              <w:rPr>
                <w:rFonts w:ascii="Times New Roman" w:hAnsi="Times New Roman" w:cs="Times New Roman"/>
                <w:sz w:val="18"/>
                <w:szCs w:val="16"/>
              </w:rPr>
            </w:pPr>
            <w:proofErr w:type="gramStart"/>
            <w:r>
              <w:rPr>
                <w:rFonts w:ascii="Times New Roman" w:hAnsi="Times New Roman" w:cs="Times New Roman"/>
                <w:sz w:val="18"/>
                <w:szCs w:val="16"/>
              </w:rPr>
              <w:t>2</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vAlign w:val="center"/>
          </w:tcPr>
          <w:p w:rsidR="00733BAF" w:rsidRDefault="00733BAF">
            <w:pPr>
              <w:spacing w:line="259" w:lineRule="auto"/>
              <w:ind w:right="20"/>
              <w:jc w:val="center"/>
              <w:rPr>
                <w:rFonts w:ascii="Times New Roman" w:hAnsi="Times New Roman" w:cs="Times New Roman"/>
                <w:sz w:val="18"/>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3BAF" w:rsidRDefault="00733BAF">
            <w:pPr>
              <w:spacing w:line="259" w:lineRule="auto"/>
              <w:ind w:right="18"/>
              <w:jc w:val="center"/>
              <w:rPr>
                <w:rFonts w:ascii="Times New Roman" w:hAnsi="Times New Roman" w:cs="Times New Roman"/>
                <w:sz w:val="18"/>
                <w:szCs w:val="16"/>
              </w:rPr>
            </w:pPr>
            <w:r>
              <w:rPr>
                <w:rFonts w:ascii="Times New Roman" w:hAnsi="Times New Roman" w:cs="Times New Roman"/>
                <w:sz w:val="18"/>
                <w:szCs w:val="16"/>
              </w:rPr>
              <w:t>921</w:t>
            </w:r>
          </w:p>
        </w:tc>
      </w:tr>
    </w:tbl>
    <w:p w:rsidR="00093980" w:rsidRDefault="00093980">
      <w:pPr>
        <w:autoSpaceDE w:val="0"/>
        <w:spacing w:after="120"/>
        <w:jc w:val="both"/>
        <w:rPr>
          <w:rFonts w:cs="Arial"/>
          <w:b/>
          <w:color w:val="000000"/>
          <w:szCs w:val="20"/>
        </w:rPr>
      </w:pPr>
    </w:p>
    <w:p w:rsidR="00093980" w:rsidRDefault="00093980">
      <w:pPr>
        <w:autoSpaceDE w:val="0"/>
        <w:spacing w:after="120"/>
        <w:jc w:val="both"/>
        <w:rPr>
          <w:rFonts w:cs="Arial"/>
          <w:b/>
          <w:color w:val="000000"/>
          <w:szCs w:val="20"/>
        </w:rPr>
      </w:pPr>
    </w:p>
    <w:p w:rsidR="00093980" w:rsidRDefault="00093980">
      <w:pPr>
        <w:autoSpaceDE w:val="0"/>
        <w:spacing w:after="120"/>
        <w:jc w:val="both"/>
        <w:rPr>
          <w:rFonts w:cs="Arial"/>
          <w:szCs w:val="20"/>
        </w:rPr>
      </w:pPr>
    </w:p>
    <w:p w:rsidR="00093980" w:rsidRDefault="00C13335">
      <w:pPr>
        <w:pStyle w:val="PargrafodaLista"/>
        <w:numPr>
          <w:ilvl w:val="1"/>
          <w:numId w:val="2"/>
        </w:numPr>
        <w:spacing w:before="120" w:after="120"/>
        <w:ind w:left="425" w:firstLine="0"/>
        <w:contextualSpacing w:val="0"/>
        <w:jc w:val="both"/>
        <w:rPr>
          <w:rFonts w:cs="Arial"/>
          <w:i/>
          <w:szCs w:val="20"/>
        </w:rPr>
      </w:pPr>
      <w:r>
        <w:rPr>
          <w:rFonts w:cs="Arial"/>
          <w:i/>
          <w:szCs w:val="20"/>
        </w:rPr>
        <w:t>Na hipótese de não haver vencedor para a cota reservada, esta poderá ser adjudicada ao vencedor da cota principal ou, diante de sua recusa, aos licitantes remanescentes, desde que pratiquem o preço do primeiro colocado da cota principal.</w:t>
      </w:r>
    </w:p>
    <w:p w:rsidR="00093980" w:rsidRDefault="00C13335">
      <w:pPr>
        <w:pStyle w:val="PargrafodaLista"/>
        <w:numPr>
          <w:ilvl w:val="1"/>
          <w:numId w:val="2"/>
        </w:numPr>
        <w:spacing w:before="120" w:after="120"/>
        <w:ind w:left="425" w:firstLine="0"/>
        <w:contextualSpacing w:val="0"/>
        <w:jc w:val="both"/>
        <w:rPr>
          <w:rFonts w:cs="Arial"/>
          <w:i/>
          <w:szCs w:val="20"/>
        </w:rPr>
      </w:pPr>
      <w:r>
        <w:rPr>
          <w:rFonts w:cs="Arial"/>
          <w:i/>
          <w:szCs w:val="20"/>
        </w:rPr>
        <w:t>Se a mesma empresa vencer a cota reservada e a cota principal, a contratação das cotas deverá ocorrer pelo menor preço.</w:t>
      </w:r>
    </w:p>
    <w:p w:rsidR="00093980" w:rsidRDefault="00093980">
      <w:pPr>
        <w:pStyle w:val="PargrafodaLista"/>
        <w:autoSpaceDE w:val="0"/>
        <w:spacing w:after="120"/>
        <w:ind w:left="425"/>
        <w:contextualSpacing w:val="0"/>
        <w:jc w:val="both"/>
        <w:rPr>
          <w:rFonts w:cs="Arial"/>
          <w:b/>
          <w:color w:val="000000"/>
          <w:szCs w:val="20"/>
        </w:rPr>
        <w:sectPr w:rsidR="00093980">
          <w:pgSz w:w="16838" w:h="11906" w:orient="landscape"/>
          <w:pgMar w:top="1134" w:right="1418" w:bottom="1701" w:left="1418" w:header="709" w:footer="709" w:gutter="0"/>
          <w:cols w:space="708"/>
          <w:docGrid w:linePitch="360"/>
        </w:sectPr>
      </w:pPr>
    </w:p>
    <w:p w:rsidR="00093980" w:rsidRDefault="00093980">
      <w:pPr>
        <w:pStyle w:val="PargrafodaLista"/>
        <w:autoSpaceDE w:val="0"/>
        <w:spacing w:after="120"/>
        <w:ind w:left="425"/>
        <w:contextualSpacing w:val="0"/>
        <w:jc w:val="both"/>
        <w:rPr>
          <w:rFonts w:cs="Arial"/>
          <w:b/>
          <w:szCs w:val="20"/>
        </w:rPr>
      </w:pPr>
    </w:p>
    <w:p w:rsidR="00093980" w:rsidRDefault="00C13335">
      <w:pPr>
        <w:pStyle w:val="PargrafodaLista"/>
        <w:numPr>
          <w:ilvl w:val="1"/>
          <w:numId w:val="2"/>
        </w:numPr>
        <w:autoSpaceDE w:val="0"/>
        <w:spacing w:after="120"/>
        <w:ind w:left="425" w:firstLine="0"/>
        <w:contextualSpacing w:val="0"/>
        <w:jc w:val="both"/>
        <w:rPr>
          <w:rFonts w:cs="Arial"/>
          <w:b/>
          <w:szCs w:val="20"/>
        </w:rPr>
      </w:pPr>
      <w:r>
        <w:rPr>
          <w:rFonts w:cs="Arial"/>
          <w:i/>
          <w:szCs w:val="20"/>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rsidR="00093980" w:rsidRDefault="00C13335">
      <w:pPr>
        <w:pStyle w:val="PargrafodaLista"/>
        <w:numPr>
          <w:ilvl w:val="1"/>
          <w:numId w:val="2"/>
        </w:numPr>
        <w:spacing w:before="120" w:after="120"/>
        <w:contextualSpacing w:val="0"/>
        <w:jc w:val="both"/>
        <w:rPr>
          <w:rFonts w:cs="Arial"/>
          <w:color w:val="000000"/>
          <w:szCs w:val="20"/>
        </w:rPr>
      </w:pPr>
      <w:r>
        <w:rPr>
          <w:rFonts w:cs="Arial"/>
          <w:bCs/>
          <w:iCs/>
          <w:szCs w:val="20"/>
        </w:rPr>
        <w:t>O prazo de vigência da contratação é de</w:t>
      </w:r>
      <w:proofErr w:type="gramStart"/>
      <w:r>
        <w:rPr>
          <w:rFonts w:cs="Arial"/>
          <w:bCs/>
          <w:iCs/>
          <w:szCs w:val="20"/>
        </w:rPr>
        <w:t xml:space="preserve">  </w:t>
      </w:r>
      <w:proofErr w:type="gramEnd"/>
      <w:r>
        <w:rPr>
          <w:rFonts w:cs="Arial"/>
          <w:bCs/>
          <w:iCs/>
          <w:szCs w:val="20"/>
        </w:rPr>
        <w:t xml:space="preserve">12 (DOZE) meses contados do(a) assinatura do contrato ou documento equivalente, prorrogável na </w:t>
      </w:r>
      <w:r>
        <w:rPr>
          <w:rFonts w:cs="Arial"/>
          <w:bCs/>
          <w:iCs/>
          <w:color w:val="000000"/>
          <w:szCs w:val="20"/>
        </w:rPr>
        <w:t>forma do art. 57, § 1°, da Lei n° 8.666/93.</w:t>
      </w:r>
    </w:p>
    <w:p w:rsidR="00093980" w:rsidRDefault="00C13335">
      <w:pPr>
        <w:pStyle w:val="Nivel1"/>
      </w:pPr>
      <w:r>
        <w:t>JUSTIFICATIVA E OBJETIVO DA CONTRATAÇÃO</w:t>
      </w:r>
    </w:p>
    <w:p w:rsidR="00093980" w:rsidRDefault="00C13335">
      <w:pPr>
        <w:pStyle w:val="PargrafodaLista"/>
        <w:numPr>
          <w:ilvl w:val="1"/>
          <w:numId w:val="2"/>
        </w:numPr>
        <w:spacing w:after="125" w:line="360" w:lineRule="auto"/>
        <w:ind w:left="284" w:right="-1" w:firstLine="0"/>
        <w:jc w:val="both"/>
        <w:rPr>
          <w:rFonts w:cs="Arial"/>
          <w:szCs w:val="20"/>
        </w:rPr>
      </w:pPr>
      <w:r>
        <w:rPr>
          <w:rFonts w:cs="Arial"/>
          <w:szCs w:val="20"/>
        </w:rPr>
        <w:t xml:space="preserve">A aquisição de Gás Liquefeito de Petróleo - GLP visa disponibilizar condições para o preparo das refeições para os discentes nos campi do IFMT onde existe restaurante universitário, sendo que por vez, existem campi que são agrícolas e que possui alunos alojados e fim, atende assim toda a comunidade usuária do IFMT/Reitoria, bem como suprir o consumo da copa e laboratórios dos Campi do IFMT. </w:t>
      </w:r>
    </w:p>
    <w:p w:rsidR="00093980" w:rsidRDefault="00C13335">
      <w:pPr>
        <w:pStyle w:val="PargrafodaLista"/>
        <w:numPr>
          <w:ilvl w:val="1"/>
          <w:numId w:val="2"/>
        </w:numPr>
        <w:spacing w:after="125" w:line="360" w:lineRule="auto"/>
        <w:ind w:left="284" w:right="-1" w:firstLine="0"/>
        <w:jc w:val="both"/>
        <w:rPr>
          <w:rFonts w:cs="Arial"/>
          <w:color w:val="000000"/>
          <w:szCs w:val="20"/>
        </w:rPr>
      </w:pPr>
      <w:r>
        <w:rPr>
          <w:rFonts w:cs="Arial"/>
          <w:color w:val="474747"/>
          <w:szCs w:val="20"/>
          <w:shd w:val="clear" w:color="auto" w:fill="FFFFFF"/>
        </w:rPr>
        <w:t>Utilizaremos SRP para aquisição de Gás porque é uma opção economicamente viável à Administração e por ser um ferramenta recomendada pela Lei de</w:t>
      </w:r>
      <w:proofErr w:type="gramStart"/>
      <w:r>
        <w:rPr>
          <w:rFonts w:cs="Arial"/>
          <w:color w:val="474747"/>
          <w:szCs w:val="20"/>
          <w:shd w:val="clear" w:color="auto" w:fill="FFFFFF"/>
        </w:rPr>
        <w:t xml:space="preserve">  </w:t>
      </w:r>
      <w:proofErr w:type="gramEnd"/>
      <w:r>
        <w:rPr>
          <w:rFonts w:cs="Arial"/>
          <w:color w:val="474747"/>
          <w:szCs w:val="20"/>
          <w:shd w:val="clear" w:color="auto" w:fill="FFFFFF"/>
        </w:rPr>
        <w:t>Licitações – Lei nº 8.666/93, Art. 15, Inciso II – que as compras, sempre que possível, deverão ser processadas através do Sistema de Registro de Preços – SRP.</w:t>
      </w:r>
    </w:p>
    <w:p w:rsidR="00093980" w:rsidRDefault="00C13335">
      <w:pPr>
        <w:pStyle w:val="PargrafodaLista"/>
        <w:numPr>
          <w:ilvl w:val="1"/>
          <w:numId w:val="2"/>
        </w:numPr>
        <w:spacing w:after="125" w:line="360" w:lineRule="auto"/>
        <w:ind w:left="284" w:right="-1" w:firstLine="0"/>
        <w:jc w:val="both"/>
        <w:rPr>
          <w:rFonts w:cs="Arial"/>
          <w:szCs w:val="20"/>
        </w:rPr>
      </w:pPr>
      <w:r>
        <w:rPr>
          <w:rFonts w:cs="Arial"/>
          <w:color w:val="000000"/>
          <w:szCs w:val="20"/>
        </w:rPr>
        <w:t>E conforme ressalta o Decreto 7.892/2013, nos incisos I, II, III e IV do Art. 3</w:t>
      </w:r>
      <w:r>
        <w:rPr>
          <w:rFonts w:cs="Arial"/>
          <w:strike/>
          <w:color w:val="000000"/>
          <w:szCs w:val="20"/>
        </w:rPr>
        <w:t>º</w:t>
      </w:r>
      <w:r>
        <w:rPr>
          <w:rFonts w:cs="Arial"/>
          <w:color w:val="000000"/>
          <w:szCs w:val="20"/>
        </w:rPr>
        <w:t>  O Sistema de Registro de Preços poderá ser adotado nas seguintes hipóteses:</w:t>
      </w:r>
    </w:p>
    <w:p w:rsidR="00093980" w:rsidRDefault="00C13335">
      <w:pPr>
        <w:pStyle w:val="PargrafodaLista"/>
        <w:numPr>
          <w:ilvl w:val="2"/>
          <w:numId w:val="2"/>
        </w:numPr>
        <w:spacing w:before="100" w:beforeAutospacing="1" w:after="100" w:afterAutospacing="1" w:line="360" w:lineRule="auto"/>
        <w:ind w:left="1134" w:right="-1" w:firstLine="0"/>
        <w:jc w:val="both"/>
        <w:rPr>
          <w:rFonts w:cs="Arial"/>
          <w:color w:val="000000"/>
          <w:szCs w:val="20"/>
        </w:rPr>
      </w:pPr>
      <w:r>
        <w:rPr>
          <w:rFonts w:cs="Arial"/>
          <w:color w:val="000000"/>
          <w:szCs w:val="20"/>
        </w:rPr>
        <w:t>I - quando, pelas características do bem ou serviço, houver necessidade de contratações frequentes;</w:t>
      </w:r>
    </w:p>
    <w:p w:rsidR="00093980" w:rsidRDefault="00C13335">
      <w:pPr>
        <w:pStyle w:val="PargrafodaLista"/>
        <w:numPr>
          <w:ilvl w:val="2"/>
          <w:numId w:val="2"/>
        </w:numPr>
        <w:spacing w:before="100" w:beforeAutospacing="1" w:after="100" w:afterAutospacing="1" w:line="360" w:lineRule="auto"/>
        <w:ind w:left="1134" w:right="-1" w:firstLine="0"/>
        <w:jc w:val="both"/>
        <w:rPr>
          <w:rFonts w:cs="Arial"/>
          <w:color w:val="000000"/>
          <w:szCs w:val="20"/>
        </w:rPr>
      </w:pPr>
      <w:r>
        <w:rPr>
          <w:rFonts w:cs="Arial"/>
          <w:color w:val="000000"/>
          <w:szCs w:val="20"/>
        </w:rPr>
        <w:t>II - quando for conveniente a aquisição de bens com previsão de entregas parceladas ou contratação de serviços remunerados por unidade de medida ou em regime de tarefa;</w:t>
      </w:r>
    </w:p>
    <w:p w:rsidR="00093980" w:rsidRDefault="00C13335">
      <w:pPr>
        <w:pStyle w:val="PargrafodaLista"/>
        <w:numPr>
          <w:ilvl w:val="2"/>
          <w:numId w:val="2"/>
        </w:numPr>
        <w:spacing w:before="100" w:beforeAutospacing="1" w:after="100" w:afterAutospacing="1" w:line="360" w:lineRule="auto"/>
        <w:ind w:left="1134" w:right="-1" w:firstLine="0"/>
        <w:jc w:val="both"/>
        <w:rPr>
          <w:rFonts w:cs="Arial"/>
          <w:color w:val="000000"/>
          <w:szCs w:val="20"/>
        </w:rPr>
      </w:pPr>
      <w:r>
        <w:rPr>
          <w:rFonts w:cs="Arial"/>
          <w:color w:val="000000"/>
          <w:szCs w:val="20"/>
        </w:rPr>
        <w:t xml:space="preserve">III - quando for conveniente a aquisição de bens ou a contratação de serviços para atendimento a mais de um órgão ou entidade, ou a programas de governo; </w:t>
      </w:r>
      <w:proofErr w:type="gramStart"/>
      <w:r>
        <w:rPr>
          <w:rFonts w:cs="Arial"/>
          <w:color w:val="000000"/>
          <w:szCs w:val="20"/>
        </w:rPr>
        <w:t>ou</w:t>
      </w:r>
      <w:proofErr w:type="gramEnd"/>
    </w:p>
    <w:p w:rsidR="00093980" w:rsidRDefault="00C13335">
      <w:pPr>
        <w:pStyle w:val="PargrafodaLista"/>
        <w:numPr>
          <w:ilvl w:val="2"/>
          <w:numId w:val="2"/>
        </w:numPr>
        <w:spacing w:before="100" w:beforeAutospacing="1" w:line="360" w:lineRule="auto"/>
        <w:ind w:left="1134" w:right="-1" w:firstLine="0"/>
        <w:jc w:val="both"/>
        <w:rPr>
          <w:rFonts w:cs="Arial"/>
          <w:color w:val="000000"/>
          <w:szCs w:val="20"/>
        </w:rPr>
      </w:pPr>
      <w:r>
        <w:rPr>
          <w:rFonts w:cs="Arial"/>
          <w:color w:val="000000"/>
          <w:szCs w:val="20"/>
        </w:rPr>
        <w:t>IV - quando, pela natureza do objeto, não for possível definir previamente o quantitativo a ser demandado pela Administração.</w:t>
      </w:r>
    </w:p>
    <w:p w:rsidR="00093980" w:rsidRDefault="00C13335">
      <w:pPr>
        <w:pStyle w:val="Nivel1"/>
      </w:pPr>
      <w:r>
        <w:t>CLASSIFICAÇÃO DOS BENS COMUNS</w:t>
      </w:r>
    </w:p>
    <w:p w:rsidR="00093980" w:rsidRDefault="00C13335">
      <w:proofErr w:type="gramStart"/>
      <w:r>
        <w:t>3.1.</w:t>
      </w:r>
      <w:proofErr w:type="gramEnd"/>
      <w:r>
        <w:t>Objeto a ser contratado é comum nos termos do parágrafo único, do art. 1°, da Lei 10.520, de 2002.</w:t>
      </w:r>
    </w:p>
    <w:p w:rsidR="00093980" w:rsidRDefault="00C13335">
      <w:pPr>
        <w:pStyle w:val="Nivel1"/>
      </w:pPr>
      <w:r>
        <w:t>ENTREGA E CRITÉRIOS DE ACEITAÇÃO DO OBJETO.</w:t>
      </w:r>
    </w:p>
    <w:p w:rsidR="00093980" w:rsidRDefault="00C13335">
      <w:pPr>
        <w:numPr>
          <w:ilvl w:val="1"/>
          <w:numId w:val="2"/>
        </w:numPr>
        <w:spacing w:before="120" w:after="120"/>
        <w:ind w:left="425" w:firstLine="0"/>
        <w:jc w:val="both"/>
        <w:rPr>
          <w:rFonts w:cs="Arial"/>
          <w:b/>
          <w:bCs/>
          <w:color w:val="000000"/>
          <w:szCs w:val="20"/>
        </w:rPr>
      </w:pPr>
      <w:r>
        <w:rPr>
          <w:rFonts w:cs="Arial"/>
          <w:iCs/>
          <w:color w:val="000000"/>
          <w:szCs w:val="20"/>
        </w:rPr>
        <w:t xml:space="preserve">O prazo de entrega dos bens é de </w:t>
      </w:r>
      <w:proofErr w:type="gramStart"/>
      <w:r>
        <w:rPr>
          <w:rFonts w:cs="Arial"/>
          <w:iCs/>
          <w:szCs w:val="20"/>
        </w:rPr>
        <w:t>2</w:t>
      </w:r>
      <w:proofErr w:type="gramEnd"/>
      <w:r>
        <w:rPr>
          <w:rFonts w:cs="Arial"/>
          <w:iCs/>
          <w:szCs w:val="20"/>
        </w:rPr>
        <w:t xml:space="preserve"> (dois)  </w:t>
      </w:r>
      <w:r>
        <w:rPr>
          <w:rFonts w:cs="Arial"/>
          <w:iCs/>
          <w:color w:val="000000"/>
          <w:szCs w:val="20"/>
        </w:rPr>
        <w:t xml:space="preserve">dias, contados do(a) </w:t>
      </w:r>
      <w:r>
        <w:rPr>
          <w:rFonts w:cs="Arial"/>
          <w:iCs/>
          <w:szCs w:val="20"/>
        </w:rPr>
        <w:t xml:space="preserve">envio da ordem de fornecimento, em remessa </w:t>
      </w:r>
      <w:r>
        <w:rPr>
          <w:rFonts w:cs="Arial"/>
          <w:i/>
          <w:iCs/>
          <w:szCs w:val="20"/>
        </w:rPr>
        <w:t>única</w:t>
      </w:r>
      <w:r>
        <w:rPr>
          <w:rFonts w:cs="Arial"/>
          <w:iCs/>
          <w:szCs w:val="20"/>
        </w:rPr>
        <w:t>,</w:t>
      </w:r>
      <w:r>
        <w:rPr>
          <w:rFonts w:cs="Arial"/>
          <w:iCs/>
          <w:color w:val="000000"/>
          <w:szCs w:val="20"/>
        </w:rPr>
        <w:t xml:space="preserve"> no seguintes endereços:</w:t>
      </w:r>
    </w:p>
    <w:p w:rsidR="00093980" w:rsidRDefault="00C13335">
      <w:pPr>
        <w:pStyle w:val="PargrafodaLista"/>
        <w:numPr>
          <w:ilvl w:val="2"/>
          <w:numId w:val="3"/>
        </w:numPr>
        <w:spacing w:before="119" w:after="119"/>
        <w:jc w:val="both"/>
        <w:rPr>
          <w:rFonts w:cs="Arial"/>
          <w:color w:val="00000A"/>
          <w:szCs w:val="20"/>
        </w:rPr>
      </w:pPr>
      <w:r>
        <w:rPr>
          <w:rFonts w:cs="Arial"/>
          <w:b/>
          <w:bCs/>
          <w:color w:val="000000"/>
          <w:szCs w:val="20"/>
        </w:rPr>
        <w:lastRenderedPageBreak/>
        <w:t>IFMT-Campus Confresa</w:t>
      </w:r>
      <w:r>
        <w:rPr>
          <w:rFonts w:cs="Arial"/>
          <w:color w:val="000000"/>
          <w:szCs w:val="20"/>
        </w:rPr>
        <w:t xml:space="preserve"> situado à av. Vilmar Fernandes, 300, Bairro Santa Luzia, </w:t>
      </w:r>
      <w:proofErr w:type="gramStart"/>
      <w:r>
        <w:rPr>
          <w:rFonts w:cs="Arial"/>
          <w:color w:val="000000"/>
          <w:szCs w:val="20"/>
        </w:rPr>
        <w:t>Confresa-MT</w:t>
      </w:r>
      <w:proofErr w:type="gramEnd"/>
      <w:r>
        <w:rPr>
          <w:rFonts w:cs="Arial"/>
          <w:color w:val="000000"/>
          <w:szCs w:val="20"/>
        </w:rPr>
        <w:t>, CEP 78652-000.</w:t>
      </w:r>
    </w:p>
    <w:p w:rsidR="00093980" w:rsidRDefault="00C13335">
      <w:pPr>
        <w:numPr>
          <w:ilvl w:val="2"/>
          <w:numId w:val="3"/>
        </w:numPr>
        <w:spacing w:before="119" w:after="119"/>
        <w:ind w:left="0" w:firstLine="0"/>
        <w:jc w:val="both"/>
        <w:rPr>
          <w:rFonts w:cs="Arial"/>
          <w:color w:val="000000" w:themeColor="text1"/>
          <w:szCs w:val="20"/>
        </w:rPr>
      </w:pPr>
      <w:r>
        <w:rPr>
          <w:rFonts w:cs="Arial"/>
          <w:b/>
          <w:bCs/>
          <w:color w:val="000000" w:themeColor="text1"/>
          <w:szCs w:val="20"/>
        </w:rPr>
        <w:t xml:space="preserve">IFMT - Campus Cuiabá </w:t>
      </w:r>
      <w:r>
        <w:rPr>
          <w:rFonts w:cs="Arial"/>
          <w:color w:val="000000" w:themeColor="text1"/>
          <w:szCs w:val="20"/>
        </w:rPr>
        <w:t xml:space="preserve">situado à </w:t>
      </w:r>
      <w:proofErr w:type="gramStart"/>
      <w:r>
        <w:rPr>
          <w:rFonts w:cs="Arial"/>
          <w:color w:val="000000" w:themeColor="text1"/>
          <w:szCs w:val="20"/>
        </w:rPr>
        <w:t>R.</w:t>
      </w:r>
      <w:proofErr w:type="gramEnd"/>
      <w:r>
        <w:rPr>
          <w:rFonts w:cs="Arial"/>
          <w:color w:val="000000" w:themeColor="text1"/>
          <w:szCs w:val="20"/>
        </w:rPr>
        <w:t xml:space="preserve"> Zulmira Canavarros, 95, Centro, Cuiabá-MT, CEP: 78005-200. Horário de entrega: de segunda-feira à sexta-feira (das </w:t>
      </w:r>
      <w:proofErr w:type="gramStart"/>
      <w:r>
        <w:rPr>
          <w:rFonts w:cs="Arial"/>
          <w:color w:val="000000" w:themeColor="text1"/>
          <w:szCs w:val="20"/>
        </w:rPr>
        <w:t>08:00</w:t>
      </w:r>
      <w:proofErr w:type="gramEnd"/>
      <w:r>
        <w:rPr>
          <w:rFonts w:cs="Arial"/>
          <w:color w:val="000000" w:themeColor="text1"/>
          <w:szCs w:val="20"/>
        </w:rPr>
        <w:t xml:space="preserve"> às 12:00 e 13:00 às 17:00). Telefone: (65) 3318-1420.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 – Campus Primavera do Leste</w:t>
      </w:r>
      <w:r>
        <w:rPr>
          <w:rFonts w:cs="Arial"/>
          <w:color w:val="000000" w:themeColor="text1"/>
          <w:szCs w:val="20"/>
        </w:rPr>
        <w:t xml:space="preserve"> situado à av. Dom Aquino nº1500, Parque Eldorado, CEP 78850-000, Primavera do Leste-MT.</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 xml:space="preserve">IFMT – </w:t>
      </w:r>
      <w:proofErr w:type="gramStart"/>
      <w:r>
        <w:rPr>
          <w:rFonts w:cs="Arial"/>
          <w:b/>
          <w:bCs/>
          <w:color w:val="000000" w:themeColor="text1"/>
          <w:szCs w:val="20"/>
        </w:rPr>
        <w:t xml:space="preserve">Reitoria </w:t>
      </w:r>
      <w:r>
        <w:rPr>
          <w:rFonts w:cs="Arial"/>
          <w:color w:val="000000" w:themeColor="text1"/>
          <w:szCs w:val="20"/>
        </w:rPr>
        <w:t>situado</w:t>
      </w:r>
      <w:proofErr w:type="gramEnd"/>
      <w:r>
        <w:rPr>
          <w:rFonts w:cs="Arial"/>
          <w:color w:val="000000" w:themeColor="text1"/>
          <w:szCs w:val="20"/>
        </w:rPr>
        <w:t xml:space="preserve"> à av. Senador </w:t>
      </w:r>
      <w:proofErr w:type="spellStart"/>
      <w:r>
        <w:rPr>
          <w:rFonts w:cs="Arial"/>
          <w:color w:val="000000" w:themeColor="text1"/>
          <w:szCs w:val="20"/>
        </w:rPr>
        <w:t>Filinto</w:t>
      </w:r>
      <w:proofErr w:type="spellEnd"/>
      <w:r>
        <w:rPr>
          <w:rFonts w:cs="Arial"/>
          <w:color w:val="000000" w:themeColor="text1"/>
          <w:szCs w:val="20"/>
        </w:rPr>
        <w:t xml:space="preserve"> Muller nº953, bairro Duque de Caxias, Cuiabá-MT, CEP 78043-400.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 – Campus Avançado de Sinop</w:t>
      </w:r>
      <w:r>
        <w:rPr>
          <w:rFonts w:cs="Arial"/>
          <w:color w:val="000000" w:themeColor="text1"/>
          <w:szCs w:val="20"/>
        </w:rPr>
        <w:t xml:space="preserve"> situado à </w:t>
      </w:r>
      <w:proofErr w:type="gramStart"/>
      <w:r>
        <w:rPr>
          <w:rFonts w:cs="Arial"/>
          <w:color w:val="000000" w:themeColor="text1"/>
          <w:szCs w:val="20"/>
        </w:rPr>
        <w:t>rua</w:t>
      </w:r>
      <w:proofErr w:type="gramEnd"/>
      <w:r>
        <w:rPr>
          <w:rFonts w:cs="Arial"/>
          <w:color w:val="000000" w:themeColor="text1"/>
          <w:szCs w:val="20"/>
        </w:rPr>
        <w:t xml:space="preserve"> das Avencas nº2377, Setor Comercial, Centro, Sinop-MT, CEP 78550-178.</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 xml:space="preserve">IFMT – Campus Avançado de Diamantino </w:t>
      </w:r>
      <w:r>
        <w:rPr>
          <w:rFonts w:cs="Arial"/>
          <w:color w:val="000000" w:themeColor="text1"/>
          <w:szCs w:val="20"/>
        </w:rPr>
        <w:t>situado à MT-121, Km 02, Rodovia Senador Roberto Campos, Novo Diamantino, Diamantino-MT, CEP 78400-000.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Avançado Lucas do Rio Verde</w:t>
      </w:r>
      <w:r>
        <w:rPr>
          <w:rFonts w:cs="Arial"/>
          <w:color w:val="000000" w:themeColor="text1"/>
          <w:szCs w:val="20"/>
        </w:rPr>
        <w:t xml:space="preserve"> situado à av. Universitária, </w:t>
      </w:r>
      <w:proofErr w:type="gramStart"/>
      <w:r>
        <w:rPr>
          <w:rFonts w:cs="Arial"/>
          <w:color w:val="000000" w:themeColor="text1"/>
          <w:szCs w:val="20"/>
        </w:rPr>
        <w:t>nº1.</w:t>
      </w:r>
      <w:proofErr w:type="gramEnd"/>
      <w:r>
        <w:rPr>
          <w:rFonts w:cs="Arial"/>
          <w:color w:val="000000" w:themeColor="text1"/>
          <w:szCs w:val="20"/>
        </w:rPr>
        <w:t>600-W, bairro Parque das Emas III, Lucas do Rio Verde-MT, CEP 78455-000. CX Postal 08.</w:t>
      </w:r>
    </w:p>
    <w:p w:rsidR="00093980" w:rsidRDefault="00C13335">
      <w:pPr>
        <w:numPr>
          <w:ilvl w:val="2"/>
          <w:numId w:val="2"/>
        </w:numPr>
        <w:spacing w:before="119" w:after="119"/>
        <w:ind w:left="0" w:firstLine="0"/>
        <w:jc w:val="both"/>
        <w:rPr>
          <w:rFonts w:cs="Arial"/>
          <w:color w:val="000000" w:themeColor="text1"/>
          <w:szCs w:val="20"/>
        </w:rPr>
      </w:pPr>
      <w:proofErr w:type="gramStart"/>
      <w:r>
        <w:rPr>
          <w:rFonts w:cs="Arial"/>
          <w:b/>
          <w:bCs/>
          <w:color w:val="000000" w:themeColor="text1"/>
          <w:szCs w:val="20"/>
        </w:rPr>
        <w:t>IFMT-Campus Bela</w:t>
      </w:r>
      <w:proofErr w:type="gramEnd"/>
      <w:r>
        <w:rPr>
          <w:rFonts w:cs="Arial"/>
          <w:b/>
          <w:bCs/>
          <w:color w:val="000000" w:themeColor="text1"/>
          <w:szCs w:val="20"/>
        </w:rPr>
        <w:t xml:space="preserve"> Vista</w:t>
      </w:r>
      <w:r>
        <w:rPr>
          <w:rFonts w:cs="Arial"/>
          <w:color w:val="000000" w:themeColor="text1"/>
          <w:szCs w:val="20"/>
        </w:rPr>
        <w:t xml:space="preserve"> situado à av. Juliano Costa Marques, s/n, Bairro Bela Vista, Cuiabá-MT, CEP 78050-560.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 xml:space="preserve">IFMT-Campus Campo Novo </w:t>
      </w:r>
      <w:proofErr w:type="gramStart"/>
      <w:r>
        <w:rPr>
          <w:rFonts w:cs="Arial"/>
          <w:b/>
          <w:bCs/>
          <w:color w:val="000000" w:themeColor="text1"/>
          <w:szCs w:val="20"/>
        </w:rPr>
        <w:t>do Parecis</w:t>
      </w:r>
      <w:proofErr w:type="gramEnd"/>
      <w:r>
        <w:rPr>
          <w:rFonts w:cs="Arial"/>
          <w:b/>
          <w:bCs/>
          <w:color w:val="000000" w:themeColor="text1"/>
          <w:szCs w:val="20"/>
        </w:rPr>
        <w:t xml:space="preserve"> </w:t>
      </w:r>
      <w:r>
        <w:rPr>
          <w:rFonts w:cs="Arial"/>
          <w:color w:val="000000" w:themeColor="text1"/>
          <w:szCs w:val="20"/>
        </w:rPr>
        <w:t>situado à MT-235, Km12, s/n, Campo Novo dos Parecis-MT, CEP 78360-000.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Avançado de Tangará da Serra</w:t>
      </w:r>
      <w:r>
        <w:rPr>
          <w:rFonts w:cs="Arial"/>
          <w:color w:val="000000" w:themeColor="text1"/>
          <w:szCs w:val="20"/>
        </w:rPr>
        <w:t xml:space="preserve"> situado à </w:t>
      </w:r>
      <w:proofErr w:type="gramStart"/>
      <w:r>
        <w:rPr>
          <w:rFonts w:cs="Arial"/>
          <w:color w:val="000000" w:themeColor="text1"/>
          <w:szCs w:val="20"/>
        </w:rPr>
        <w:t>rua</w:t>
      </w:r>
      <w:proofErr w:type="gramEnd"/>
      <w:r>
        <w:rPr>
          <w:rFonts w:cs="Arial"/>
          <w:color w:val="000000" w:themeColor="text1"/>
          <w:szCs w:val="20"/>
        </w:rPr>
        <w:t xml:space="preserve"> 28, 980N, Tangará da </w:t>
      </w:r>
      <w:proofErr w:type="spellStart"/>
      <w:r>
        <w:rPr>
          <w:rFonts w:cs="Arial"/>
          <w:color w:val="000000" w:themeColor="text1"/>
          <w:szCs w:val="20"/>
        </w:rPr>
        <w:t>Serra-MT</w:t>
      </w:r>
      <w:proofErr w:type="spellEnd"/>
      <w:r>
        <w:rPr>
          <w:rFonts w:cs="Arial"/>
          <w:color w:val="000000" w:themeColor="text1"/>
          <w:szCs w:val="20"/>
        </w:rPr>
        <w:t>, CEP 78300-000.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Alta Floresta</w:t>
      </w:r>
      <w:r>
        <w:rPr>
          <w:rFonts w:cs="Arial"/>
          <w:color w:val="000000" w:themeColor="text1"/>
          <w:szCs w:val="20"/>
        </w:rPr>
        <w:t xml:space="preserve"> situado na Rodovia MT 208, Sn, Lote 143-A -</w:t>
      </w:r>
      <w:proofErr w:type="gramStart"/>
      <w:r>
        <w:rPr>
          <w:rFonts w:cs="Arial"/>
          <w:color w:val="000000" w:themeColor="text1"/>
          <w:szCs w:val="20"/>
        </w:rPr>
        <w:t xml:space="preserve">  </w:t>
      </w:r>
      <w:proofErr w:type="gramEnd"/>
      <w:r>
        <w:rPr>
          <w:rFonts w:cs="Arial"/>
          <w:color w:val="000000" w:themeColor="text1"/>
          <w:szCs w:val="20"/>
        </w:rPr>
        <w:t xml:space="preserve">Alta </w:t>
      </w:r>
      <w:proofErr w:type="spellStart"/>
      <w:r>
        <w:rPr>
          <w:rFonts w:cs="Arial"/>
          <w:color w:val="000000" w:themeColor="text1"/>
          <w:szCs w:val="20"/>
        </w:rPr>
        <w:t>Floresta-MT</w:t>
      </w:r>
      <w:proofErr w:type="spellEnd"/>
      <w:r>
        <w:rPr>
          <w:rFonts w:cs="Arial"/>
          <w:color w:val="000000" w:themeColor="text1"/>
          <w:szCs w:val="20"/>
        </w:rPr>
        <w:t>, CEP 78580-000, Caixa Postal 148.</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 Campus Pontes e Lacerda</w:t>
      </w:r>
      <w:r>
        <w:rPr>
          <w:rFonts w:cs="Arial"/>
          <w:color w:val="000000" w:themeColor="text1"/>
          <w:szCs w:val="20"/>
        </w:rPr>
        <w:t xml:space="preserve"> situado à</w:t>
      </w:r>
      <w:r>
        <w:rPr>
          <w:rFonts w:cs="Arial"/>
          <w:b/>
          <w:bCs/>
          <w:color w:val="000000" w:themeColor="text1"/>
          <w:szCs w:val="20"/>
        </w:rPr>
        <w:t xml:space="preserve"> </w:t>
      </w:r>
      <w:r>
        <w:rPr>
          <w:rFonts w:cs="Arial"/>
          <w:color w:val="000000" w:themeColor="text1"/>
          <w:szCs w:val="20"/>
        </w:rPr>
        <w:t>Rod. MT 473, s/n, bairro Morada da Serra, Estrada para a Vila Matão, Pontes e Lacerda-MT, CEP 78250-000.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Rondonópolis</w:t>
      </w:r>
      <w:r>
        <w:rPr>
          <w:rFonts w:cs="Arial"/>
          <w:color w:val="000000" w:themeColor="text1"/>
          <w:szCs w:val="20"/>
        </w:rPr>
        <w:t xml:space="preserve"> situado à</w:t>
      </w:r>
      <w:r>
        <w:rPr>
          <w:rFonts w:cs="Arial"/>
          <w:b/>
          <w:bCs/>
          <w:color w:val="000000" w:themeColor="text1"/>
          <w:szCs w:val="20"/>
        </w:rPr>
        <w:t xml:space="preserve"> </w:t>
      </w:r>
      <w:proofErr w:type="gramStart"/>
      <w:r>
        <w:rPr>
          <w:rFonts w:cs="Arial"/>
          <w:color w:val="000000" w:themeColor="text1"/>
          <w:szCs w:val="20"/>
        </w:rPr>
        <w:t>rua</w:t>
      </w:r>
      <w:proofErr w:type="gramEnd"/>
      <w:r>
        <w:rPr>
          <w:rFonts w:cs="Arial"/>
          <w:color w:val="000000" w:themeColor="text1"/>
          <w:szCs w:val="20"/>
        </w:rPr>
        <w:t xml:space="preserve"> Ananias Martins de Souza, nº861, Vila Mineira, Rondonópolis-MT, CEP 78721-520. Fone: 066-3427-2309.</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Sorriso</w:t>
      </w:r>
      <w:r>
        <w:rPr>
          <w:rFonts w:cs="Arial"/>
          <w:color w:val="000000" w:themeColor="text1"/>
          <w:szCs w:val="20"/>
        </w:rPr>
        <w:t xml:space="preserve"> situado à</w:t>
      </w:r>
      <w:r>
        <w:rPr>
          <w:rFonts w:cs="Arial"/>
          <w:b/>
          <w:bCs/>
          <w:color w:val="000000" w:themeColor="text1"/>
          <w:szCs w:val="20"/>
        </w:rPr>
        <w:t xml:space="preserve"> </w:t>
      </w:r>
      <w:proofErr w:type="gramStart"/>
      <w:r>
        <w:rPr>
          <w:rFonts w:cs="Arial"/>
          <w:color w:val="000000" w:themeColor="text1"/>
          <w:szCs w:val="20"/>
        </w:rPr>
        <w:t>av.</w:t>
      </w:r>
      <w:proofErr w:type="gramEnd"/>
      <w:r>
        <w:rPr>
          <w:rFonts w:cs="Arial"/>
          <w:color w:val="000000" w:themeColor="text1"/>
          <w:szCs w:val="20"/>
        </w:rPr>
        <w:t xml:space="preserve"> dos Universitários, 799, bairro Santa Clara, Sorriso-MT, CEP 78890-000.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Avançado Guarantã do Norte</w:t>
      </w:r>
      <w:r>
        <w:rPr>
          <w:rFonts w:cs="Arial"/>
          <w:color w:val="000000" w:themeColor="text1"/>
          <w:szCs w:val="20"/>
        </w:rPr>
        <w:t xml:space="preserve"> situado à</w:t>
      </w:r>
      <w:r>
        <w:rPr>
          <w:rFonts w:cs="Arial"/>
          <w:b/>
          <w:bCs/>
          <w:color w:val="000000" w:themeColor="text1"/>
          <w:szCs w:val="20"/>
        </w:rPr>
        <w:t xml:space="preserve"> </w:t>
      </w:r>
      <w:proofErr w:type="gramStart"/>
      <w:r>
        <w:rPr>
          <w:rFonts w:cs="Arial"/>
          <w:color w:val="000000" w:themeColor="text1"/>
          <w:szCs w:val="20"/>
        </w:rPr>
        <w:t>rua</w:t>
      </w:r>
      <w:proofErr w:type="gramEnd"/>
      <w:r>
        <w:rPr>
          <w:rFonts w:cs="Arial"/>
          <w:color w:val="000000" w:themeColor="text1"/>
          <w:szCs w:val="20"/>
        </w:rPr>
        <w:t xml:space="preserve"> Cambara nº1145, Centro, Guarantã do Norte-MT, CEP 78520-000.</w:t>
      </w:r>
    </w:p>
    <w:p w:rsidR="00093980" w:rsidRDefault="00C13335">
      <w:pPr>
        <w:numPr>
          <w:ilvl w:val="2"/>
          <w:numId w:val="2"/>
        </w:numPr>
        <w:spacing w:before="119" w:after="119"/>
        <w:ind w:left="0" w:firstLine="0"/>
        <w:jc w:val="both"/>
        <w:rPr>
          <w:rFonts w:cs="Arial"/>
          <w:color w:val="000000" w:themeColor="text1"/>
          <w:szCs w:val="20"/>
        </w:rPr>
      </w:pPr>
      <w:r>
        <w:rPr>
          <w:rFonts w:cs="Arial"/>
          <w:b/>
          <w:bCs/>
          <w:color w:val="000000" w:themeColor="text1"/>
          <w:szCs w:val="20"/>
        </w:rPr>
        <w:t>IFMT-Campus São Vicente</w:t>
      </w:r>
      <w:r>
        <w:rPr>
          <w:rFonts w:cs="Arial"/>
          <w:color w:val="000000" w:themeColor="text1"/>
          <w:szCs w:val="20"/>
        </w:rPr>
        <w:t xml:space="preserve"> situado à</w:t>
      </w:r>
      <w:r>
        <w:rPr>
          <w:rFonts w:cs="Arial"/>
          <w:b/>
          <w:bCs/>
          <w:color w:val="000000" w:themeColor="text1"/>
          <w:szCs w:val="20"/>
        </w:rPr>
        <w:t xml:space="preserve"> </w:t>
      </w:r>
      <w:r>
        <w:rPr>
          <w:rFonts w:cs="Arial"/>
          <w:color w:val="000000" w:themeColor="text1"/>
          <w:szCs w:val="20"/>
        </w:rPr>
        <w:t>Rodovia BR 364 – KM 329, Vila de São Vicente, Zona Rural, Município de Cuiabá – MT. CEP: 78.106-970. Endereço para correspondência: Rua Nestor de Lara Pinto, n. 183, CX Postal nº 3108. Agência Coxipó da Ponte, Bairro das Palmeiras – CEP: 78080 – Cuiabá – MT.</w:t>
      </w:r>
    </w:p>
    <w:p w:rsidR="00093980" w:rsidRDefault="00C13335">
      <w:pPr>
        <w:numPr>
          <w:ilvl w:val="2"/>
          <w:numId w:val="2"/>
        </w:numPr>
        <w:spacing w:before="119" w:after="119"/>
        <w:ind w:left="0" w:firstLine="0"/>
        <w:jc w:val="both"/>
        <w:rPr>
          <w:rFonts w:cs="Arial"/>
          <w:color w:val="000000" w:themeColor="text1"/>
          <w:szCs w:val="20"/>
        </w:rPr>
      </w:pPr>
      <w:r>
        <w:rPr>
          <w:rFonts w:cs="Arial"/>
          <w:b/>
          <w:color w:val="000000" w:themeColor="text1"/>
          <w:szCs w:val="20"/>
        </w:rPr>
        <w:t xml:space="preserve">IFMT-Campus Juína </w:t>
      </w:r>
      <w:r>
        <w:rPr>
          <w:rFonts w:cs="Arial"/>
          <w:color w:val="000000" w:themeColor="text1"/>
          <w:szCs w:val="20"/>
        </w:rPr>
        <w:t>situado</w:t>
      </w:r>
      <w:proofErr w:type="gramStart"/>
      <w:r>
        <w:rPr>
          <w:rFonts w:cs="Arial"/>
          <w:color w:val="000000" w:themeColor="text1"/>
          <w:szCs w:val="20"/>
        </w:rPr>
        <w:t xml:space="preserve">  </w:t>
      </w:r>
      <w:proofErr w:type="gramEnd"/>
      <w:r>
        <w:rPr>
          <w:rFonts w:cs="Arial"/>
          <w:color w:val="000000" w:themeColor="text1"/>
          <w:szCs w:val="20"/>
        </w:rPr>
        <w:t>na linha J, quadra 08, Setor Chácara, CX Postal 255, município de Juína – MT. CEP: 78320-000</w:t>
      </w:r>
    </w:p>
    <w:p w:rsidR="00093980" w:rsidRDefault="00C13335">
      <w:pPr>
        <w:numPr>
          <w:ilvl w:val="1"/>
          <w:numId w:val="2"/>
        </w:numPr>
        <w:spacing w:before="120" w:after="120"/>
        <w:ind w:left="425" w:firstLine="0"/>
        <w:jc w:val="both"/>
        <w:rPr>
          <w:rFonts w:cs="Arial"/>
          <w:bCs/>
          <w:color w:val="000000"/>
          <w:szCs w:val="20"/>
        </w:rPr>
      </w:pPr>
      <w:r>
        <w:rPr>
          <w:rFonts w:cs="Arial"/>
          <w:bCs/>
          <w:color w:val="000000"/>
          <w:szCs w:val="20"/>
        </w:rPr>
        <w:t>No caso de produtos perecíveis, o prazo de validade na data da entrega não poderá ser inferior a</w:t>
      </w:r>
      <w:proofErr w:type="gramStart"/>
      <w:r>
        <w:rPr>
          <w:rFonts w:cs="Arial"/>
          <w:bCs/>
          <w:color w:val="000000"/>
          <w:szCs w:val="20"/>
        </w:rPr>
        <w:t xml:space="preserve"> </w:t>
      </w:r>
      <w:r>
        <w:rPr>
          <w:rFonts w:cs="Arial"/>
          <w:bCs/>
          <w:color w:val="FF0000"/>
          <w:szCs w:val="20"/>
        </w:rPr>
        <w:t xml:space="preserve"> </w:t>
      </w:r>
      <w:proofErr w:type="gramEnd"/>
      <w:r>
        <w:rPr>
          <w:rFonts w:cs="Arial"/>
          <w:bCs/>
          <w:szCs w:val="20"/>
        </w:rPr>
        <w:t xml:space="preserve">20 (vinte)  </w:t>
      </w:r>
      <w:r>
        <w:rPr>
          <w:rFonts w:cs="Arial"/>
          <w:bCs/>
          <w:color w:val="000000"/>
          <w:szCs w:val="20"/>
        </w:rPr>
        <w:t>meses,  metade do prazo total recomendado pelo fabricante.</w:t>
      </w:r>
    </w:p>
    <w:p w:rsidR="00093980" w:rsidRDefault="00C13335">
      <w:pPr>
        <w:numPr>
          <w:ilvl w:val="1"/>
          <w:numId w:val="2"/>
        </w:numPr>
        <w:spacing w:before="120" w:after="120"/>
        <w:ind w:left="425" w:firstLine="0"/>
        <w:jc w:val="both"/>
        <w:rPr>
          <w:rFonts w:cs="Arial"/>
          <w:b/>
          <w:bCs/>
          <w:color w:val="000000"/>
          <w:szCs w:val="20"/>
        </w:rPr>
      </w:pPr>
      <w:r>
        <w:rPr>
          <w:rFonts w:cs="Arial"/>
          <w:color w:val="000000"/>
          <w:szCs w:val="20"/>
        </w:rPr>
        <w:t xml:space="preserve">Os bens serão recebidos provisoriamente no prazo de 10 </w:t>
      </w:r>
      <w:r>
        <w:rPr>
          <w:rFonts w:cs="Arial"/>
          <w:szCs w:val="20"/>
        </w:rPr>
        <w:t xml:space="preserve">(dez) </w:t>
      </w:r>
      <w:r>
        <w:rPr>
          <w:rFonts w:cs="Arial"/>
          <w:color w:val="000000"/>
          <w:szCs w:val="20"/>
        </w:rPr>
        <w:t xml:space="preserve">dias, </w:t>
      </w:r>
      <w:proofErr w:type="gramStart"/>
      <w:r>
        <w:rPr>
          <w:rFonts w:cs="Arial"/>
          <w:color w:val="000000"/>
          <w:szCs w:val="20"/>
        </w:rPr>
        <w:t>pelo(</w:t>
      </w:r>
      <w:proofErr w:type="gramEnd"/>
      <w:r>
        <w:rPr>
          <w:rFonts w:cs="Arial"/>
          <w:color w:val="000000"/>
          <w:szCs w:val="20"/>
        </w:rPr>
        <w:t xml:space="preserve">a) </w:t>
      </w:r>
      <w:r>
        <w:rPr>
          <w:rFonts w:cs="Arial"/>
          <w:iCs/>
          <w:color w:val="000000"/>
          <w:szCs w:val="20"/>
        </w:rPr>
        <w:t>responsável</w:t>
      </w:r>
      <w:r>
        <w:rPr>
          <w:rFonts w:cs="Arial"/>
          <w:color w:val="000000"/>
          <w:szCs w:val="20"/>
        </w:rPr>
        <w:t xml:space="preserve"> pelo acompanhamento e fiscalização do contrato, para efeito de posterior </w:t>
      </w:r>
      <w:r>
        <w:rPr>
          <w:rFonts w:cs="Arial"/>
          <w:color w:val="000000"/>
          <w:szCs w:val="20"/>
        </w:rPr>
        <w:lastRenderedPageBreak/>
        <w:t xml:space="preserve">verificação de sua conformidade com as especificações constantes neste Termo de Referência e na proposta. </w:t>
      </w:r>
    </w:p>
    <w:p w:rsidR="00093980" w:rsidRDefault="00C13335">
      <w:pPr>
        <w:numPr>
          <w:ilvl w:val="1"/>
          <w:numId w:val="2"/>
        </w:numPr>
        <w:spacing w:before="120" w:after="120"/>
        <w:ind w:left="425" w:firstLine="0"/>
        <w:jc w:val="both"/>
        <w:rPr>
          <w:rFonts w:cs="Arial"/>
          <w:bCs/>
          <w:color w:val="000000"/>
          <w:szCs w:val="20"/>
        </w:rPr>
      </w:pPr>
      <w:r>
        <w:rPr>
          <w:rFonts w:cs="Arial"/>
          <w:bCs/>
          <w:color w:val="000000"/>
          <w:szCs w:val="20"/>
        </w:rPr>
        <w:t xml:space="preserve">Os bens poderão ser rejeitados, no todo ou em parte, quando em desacordo com as especificações constantes neste Termo de Referência e na proposta, devendo ser substituídos no prazo </w:t>
      </w:r>
      <w:r>
        <w:rPr>
          <w:rFonts w:cs="Arial"/>
          <w:bCs/>
          <w:szCs w:val="20"/>
        </w:rPr>
        <w:t xml:space="preserve">de </w:t>
      </w:r>
      <w:proofErr w:type="gramStart"/>
      <w:r>
        <w:rPr>
          <w:rFonts w:cs="Arial"/>
          <w:bCs/>
          <w:szCs w:val="20"/>
        </w:rPr>
        <w:t>5</w:t>
      </w:r>
      <w:proofErr w:type="gramEnd"/>
      <w:r>
        <w:rPr>
          <w:rFonts w:cs="Arial"/>
          <w:bCs/>
          <w:szCs w:val="20"/>
        </w:rPr>
        <w:t xml:space="preserve"> (cinco) dias</w:t>
      </w:r>
      <w:r>
        <w:rPr>
          <w:rFonts w:cs="Arial"/>
          <w:bCs/>
          <w:color w:val="000000"/>
          <w:szCs w:val="20"/>
        </w:rPr>
        <w:t>, a contar da notificação da contratada, às suas custas, sem prejuízo da aplicação das penalidades.</w:t>
      </w:r>
    </w:p>
    <w:p w:rsidR="00093980" w:rsidRDefault="00C13335">
      <w:pPr>
        <w:numPr>
          <w:ilvl w:val="1"/>
          <w:numId w:val="2"/>
        </w:numPr>
        <w:spacing w:before="120" w:after="120"/>
        <w:ind w:left="425" w:firstLine="0"/>
        <w:jc w:val="both"/>
        <w:rPr>
          <w:rFonts w:cs="Arial"/>
          <w:bCs/>
          <w:color w:val="000000"/>
          <w:szCs w:val="20"/>
        </w:rPr>
      </w:pPr>
      <w:r>
        <w:rPr>
          <w:rFonts w:cs="Arial"/>
          <w:color w:val="000000"/>
          <w:szCs w:val="20"/>
        </w:rPr>
        <w:t xml:space="preserve">Os bens serão recebidos definitivamente no prazo </w:t>
      </w:r>
      <w:r>
        <w:rPr>
          <w:rFonts w:cs="Arial"/>
          <w:szCs w:val="20"/>
        </w:rPr>
        <w:t xml:space="preserve">de </w:t>
      </w:r>
      <w:proofErr w:type="gramStart"/>
      <w:r>
        <w:rPr>
          <w:rFonts w:cs="Arial"/>
          <w:szCs w:val="20"/>
        </w:rPr>
        <w:t>3</w:t>
      </w:r>
      <w:proofErr w:type="gramEnd"/>
      <w:r>
        <w:rPr>
          <w:rFonts w:cs="Arial"/>
          <w:szCs w:val="20"/>
        </w:rPr>
        <w:t xml:space="preserve"> (três)</w:t>
      </w:r>
      <w:r>
        <w:rPr>
          <w:rFonts w:cs="Arial"/>
          <w:color w:val="000000"/>
          <w:szCs w:val="20"/>
        </w:rPr>
        <w:t xml:space="preserve"> dias, contados do recebimento provisório, após a verificação da qualidade e quantidade do material e consequente aceitação mediante termo circunstanciado.</w:t>
      </w:r>
    </w:p>
    <w:p w:rsidR="00093980" w:rsidRDefault="00C13335">
      <w:pPr>
        <w:numPr>
          <w:ilvl w:val="2"/>
          <w:numId w:val="2"/>
        </w:numPr>
        <w:spacing w:before="120" w:after="120"/>
        <w:ind w:left="1134" w:firstLine="0"/>
        <w:jc w:val="both"/>
        <w:rPr>
          <w:rFonts w:cs="Arial"/>
          <w:b/>
          <w:bCs/>
          <w:color w:val="000000"/>
          <w:szCs w:val="20"/>
        </w:rPr>
      </w:pPr>
      <w:r>
        <w:rPr>
          <w:rFonts w:cs="Arial"/>
          <w:color w:val="000000"/>
          <w:szCs w:val="20"/>
          <w:lang w:eastAsia="en-US"/>
        </w:rPr>
        <w:t>Na hipótese de a verificação a que se refere o subitem anterior não ser procedida dentro do prazo fixado, reputar-se-á como realizada, consumando-se o recebimento definitivo no dia do esgotamento do prazo.</w:t>
      </w:r>
    </w:p>
    <w:p w:rsidR="00093980" w:rsidRDefault="00C13335">
      <w:pPr>
        <w:numPr>
          <w:ilvl w:val="1"/>
          <w:numId w:val="2"/>
        </w:numPr>
        <w:spacing w:before="120" w:after="120"/>
        <w:ind w:left="425" w:firstLine="0"/>
        <w:jc w:val="both"/>
        <w:rPr>
          <w:rFonts w:cs="Arial"/>
          <w:color w:val="000000"/>
          <w:szCs w:val="20"/>
        </w:rPr>
      </w:pPr>
      <w:r>
        <w:rPr>
          <w:rFonts w:cs="Arial"/>
          <w:color w:val="000000"/>
          <w:szCs w:val="20"/>
          <w:lang w:eastAsia="en-US"/>
        </w:rPr>
        <w:t>O recebimento provisório ou definitivo do objeto não exclui a responsabilidade da contratada pelos prejuízos resultantes da incorreta execução do contrato.</w:t>
      </w:r>
    </w:p>
    <w:p w:rsidR="00093980" w:rsidRDefault="00C13335">
      <w:pPr>
        <w:spacing w:before="120" w:after="120"/>
        <w:ind w:left="425"/>
        <w:jc w:val="both"/>
        <w:rPr>
          <w:rFonts w:cs="Arial"/>
          <w:b/>
          <w:color w:val="000000"/>
          <w:szCs w:val="20"/>
          <w:u w:val="single"/>
        </w:rPr>
      </w:pPr>
      <w:r>
        <w:rPr>
          <w:rFonts w:cs="Arial"/>
          <w:color w:val="000000"/>
          <w:szCs w:val="20"/>
        </w:rPr>
        <w:t>4.7.</w:t>
      </w:r>
      <w:r>
        <w:rPr>
          <w:rFonts w:cs="Arial"/>
          <w:color w:val="000000"/>
          <w:szCs w:val="20"/>
        </w:rPr>
        <w:tab/>
      </w:r>
      <w:r>
        <w:rPr>
          <w:rFonts w:cs="Arial"/>
          <w:b/>
          <w:color w:val="000000"/>
          <w:szCs w:val="20"/>
          <w:u w:val="single"/>
        </w:rPr>
        <w:t xml:space="preserve">Os Vasilhames de gás (P-13 e P-45) serão fornecidos e mantidos pelo IFMT em quantidade suficiente para atender o consumo semanal do órgão. </w:t>
      </w:r>
    </w:p>
    <w:p w:rsidR="00093980" w:rsidRDefault="00C13335">
      <w:pPr>
        <w:spacing w:before="120" w:after="120"/>
        <w:ind w:left="425"/>
        <w:jc w:val="both"/>
        <w:rPr>
          <w:rFonts w:cs="Arial"/>
          <w:b/>
          <w:color w:val="000000"/>
          <w:szCs w:val="20"/>
          <w:u w:val="single"/>
        </w:rPr>
      </w:pPr>
      <w:r>
        <w:rPr>
          <w:rFonts w:cs="Arial"/>
          <w:b/>
          <w:color w:val="000000"/>
          <w:szCs w:val="20"/>
          <w:u w:val="single"/>
        </w:rPr>
        <w:t>4.8.</w:t>
      </w:r>
      <w:r>
        <w:rPr>
          <w:rFonts w:cs="Arial"/>
          <w:b/>
          <w:color w:val="000000"/>
          <w:szCs w:val="20"/>
          <w:u w:val="single"/>
        </w:rPr>
        <w:tab/>
        <w:t xml:space="preserve">A Contratada deverá disponibilizar pessoal para realizar as operações de carga e descarga dos materiais, os materiais deverão ser armazenados em espaço designado pelo IFMT. </w:t>
      </w:r>
    </w:p>
    <w:p w:rsidR="00093980" w:rsidRDefault="00C13335">
      <w:pPr>
        <w:spacing w:before="120" w:after="120"/>
        <w:ind w:left="425"/>
        <w:jc w:val="both"/>
        <w:rPr>
          <w:rFonts w:cs="Arial"/>
          <w:b/>
          <w:color w:val="000000"/>
          <w:szCs w:val="20"/>
          <w:u w:val="single"/>
        </w:rPr>
      </w:pPr>
      <w:r>
        <w:rPr>
          <w:rFonts w:cs="Arial"/>
          <w:b/>
          <w:color w:val="000000"/>
          <w:szCs w:val="20"/>
          <w:u w:val="single"/>
        </w:rPr>
        <w:t>4.9.</w:t>
      </w:r>
      <w:r>
        <w:rPr>
          <w:rFonts w:cs="Arial"/>
          <w:b/>
          <w:color w:val="000000"/>
          <w:szCs w:val="20"/>
          <w:u w:val="single"/>
        </w:rPr>
        <w:tab/>
        <w:t xml:space="preserve">Os vasilhames deverão estar bem conservados; </w:t>
      </w:r>
    </w:p>
    <w:p w:rsidR="00093980" w:rsidRDefault="00C13335">
      <w:pPr>
        <w:spacing w:before="120" w:after="120"/>
        <w:ind w:left="425"/>
        <w:jc w:val="both"/>
        <w:rPr>
          <w:rFonts w:cs="Arial"/>
          <w:b/>
          <w:color w:val="000000"/>
          <w:szCs w:val="20"/>
          <w:u w:val="single"/>
        </w:rPr>
      </w:pPr>
      <w:r>
        <w:rPr>
          <w:rFonts w:cs="Arial"/>
          <w:b/>
          <w:color w:val="000000"/>
          <w:szCs w:val="20"/>
          <w:u w:val="single"/>
        </w:rPr>
        <w:t>4.10.</w:t>
      </w:r>
      <w:r>
        <w:rPr>
          <w:rFonts w:cs="Arial"/>
          <w:b/>
          <w:color w:val="000000"/>
          <w:szCs w:val="20"/>
          <w:u w:val="single"/>
        </w:rPr>
        <w:tab/>
        <w:t xml:space="preserve">Os botijões ou cilindros de gás GLP deverão estar lacrados, sem apresentar sinais de violação, nem amassados e deverão, também, observar as normas técnicas aplicáveis, elaboradas pela Associação Brasileira de Normas Técnicas – ABNT, quanto aos requisitos mínimos de qualidade, utilidade, resistência e segurança, nos termos da lei nº 4.150/62; </w:t>
      </w:r>
    </w:p>
    <w:p w:rsidR="00093980" w:rsidRDefault="00C13335">
      <w:pPr>
        <w:spacing w:before="120" w:after="120"/>
        <w:ind w:left="425"/>
        <w:jc w:val="both"/>
        <w:rPr>
          <w:rFonts w:cs="Arial"/>
          <w:b/>
          <w:color w:val="000000"/>
          <w:szCs w:val="20"/>
          <w:u w:val="single"/>
        </w:rPr>
      </w:pPr>
      <w:r>
        <w:rPr>
          <w:rFonts w:cs="Arial"/>
          <w:b/>
          <w:color w:val="000000"/>
          <w:szCs w:val="20"/>
          <w:u w:val="single"/>
        </w:rPr>
        <w:t>4.11.</w:t>
      </w:r>
      <w:r>
        <w:rPr>
          <w:rFonts w:cs="Arial"/>
          <w:b/>
          <w:color w:val="000000"/>
          <w:szCs w:val="20"/>
          <w:u w:val="single"/>
        </w:rPr>
        <w:tab/>
        <w:t xml:space="preserve">Obedecer a toda legislação correlata ao fornecimento de Gás em vigência, expedida pela Agência Nacional de Petróleo e Inmetro. </w:t>
      </w:r>
    </w:p>
    <w:p w:rsidR="00093980" w:rsidRDefault="00C13335">
      <w:pPr>
        <w:spacing w:before="120" w:after="120"/>
        <w:ind w:left="425"/>
        <w:jc w:val="both"/>
        <w:rPr>
          <w:rFonts w:cs="Arial"/>
          <w:b/>
          <w:color w:val="000000"/>
          <w:szCs w:val="20"/>
          <w:u w:val="single"/>
        </w:rPr>
      </w:pPr>
      <w:r>
        <w:rPr>
          <w:rFonts w:cs="Arial"/>
          <w:b/>
          <w:color w:val="000000"/>
          <w:szCs w:val="20"/>
          <w:u w:val="single"/>
        </w:rPr>
        <w:t>4.12.</w:t>
      </w:r>
      <w:r>
        <w:rPr>
          <w:rFonts w:cs="Arial"/>
          <w:b/>
          <w:color w:val="000000"/>
          <w:szCs w:val="20"/>
          <w:u w:val="single"/>
        </w:rPr>
        <w:tab/>
        <w:t xml:space="preserve">Os materiais e equipamentos deverão estar de acordo com os normativos de segurança atualmente em vigor exigidos para a finalidade que se destinam; </w:t>
      </w:r>
    </w:p>
    <w:p w:rsidR="00093980" w:rsidRDefault="00C13335">
      <w:pPr>
        <w:spacing w:before="120" w:after="120"/>
        <w:ind w:left="425"/>
        <w:jc w:val="both"/>
        <w:rPr>
          <w:rFonts w:cs="Arial"/>
          <w:b/>
          <w:color w:val="000000"/>
          <w:szCs w:val="20"/>
          <w:u w:val="single"/>
        </w:rPr>
      </w:pPr>
      <w:r>
        <w:rPr>
          <w:rFonts w:cs="Arial"/>
          <w:b/>
          <w:color w:val="000000"/>
          <w:szCs w:val="20"/>
          <w:u w:val="single"/>
        </w:rPr>
        <w:t>4.13.</w:t>
      </w:r>
      <w:r>
        <w:rPr>
          <w:rFonts w:cs="Arial"/>
          <w:b/>
          <w:color w:val="000000"/>
          <w:szCs w:val="20"/>
          <w:u w:val="single"/>
        </w:rPr>
        <w:tab/>
        <w:t xml:space="preserve">Os materiais devem apresentar prazo mínimo de 80% de vida útil no que diz respeito ao conteúdo liquido e também ao seu vasilhame; </w:t>
      </w:r>
    </w:p>
    <w:p w:rsidR="00093980" w:rsidRDefault="00C13335">
      <w:pPr>
        <w:spacing w:before="120" w:after="120"/>
        <w:ind w:left="425"/>
        <w:jc w:val="both"/>
        <w:rPr>
          <w:rFonts w:cs="Arial"/>
          <w:b/>
          <w:color w:val="000000"/>
          <w:szCs w:val="20"/>
          <w:u w:val="single"/>
        </w:rPr>
      </w:pPr>
      <w:r>
        <w:rPr>
          <w:rFonts w:cs="Arial"/>
          <w:b/>
          <w:color w:val="000000"/>
          <w:szCs w:val="20"/>
          <w:u w:val="single"/>
        </w:rPr>
        <w:t>4.14.</w:t>
      </w:r>
      <w:r>
        <w:rPr>
          <w:rFonts w:cs="Arial"/>
          <w:b/>
          <w:color w:val="000000"/>
          <w:szCs w:val="20"/>
          <w:u w:val="single"/>
        </w:rPr>
        <w:tab/>
        <w:t>Todas as despesas de envio, transporte, carga, descarga e outras para efetiva entrega dos produtos correrão por conta da Contratada.</w:t>
      </w:r>
    </w:p>
    <w:p w:rsidR="00093980" w:rsidRDefault="00C13335">
      <w:pPr>
        <w:pStyle w:val="Nivel1"/>
      </w:pPr>
      <w:r>
        <w:rPr>
          <w:lang w:eastAsia="en-US"/>
        </w:rPr>
        <w:t>OBRIGAÇÕES DA CONTRATANTE</w:t>
      </w:r>
    </w:p>
    <w:p w:rsidR="00093980" w:rsidRDefault="00C13335">
      <w:pPr>
        <w:numPr>
          <w:ilvl w:val="1"/>
          <w:numId w:val="2"/>
        </w:numPr>
        <w:spacing w:before="120" w:after="120"/>
        <w:ind w:left="425" w:firstLine="0"/>
        <w:jc w:val="both"/>
        <w:rPr>
          <w:rFonts w:cs="Arial"/>
          <w:b/>
          <w:color w:val="000000"/>
          <w:szCs w:val="20"/>
        </w:rPr>
      </w:pPr>
      <w:r>
        <w:rPr>
          <w:rFonts w:cs="Arial"/>
          <w:szCs w:val="20"/>
        </w:rPr>
        <w:t>São obrigações da Contratante:</w:t>
      </w:r>
    </w:p>
    <w:p w:rsidR="00093980" w:rsidRDefault="00C13335">
      <w:pPr>
        <w:numPr>
          <w:ilvl w:val="2"/>
          <w:numId w:val="2"/>
        </w:numPr>
        <w:spacing w:before="120" w:after="120"/>
        <w:ind w:left="1134" w:firstLine="0"/>
        <w:jc w:val="both"/>
        <w:rPr>
          <w:rFonts w:cs="Arial"/>
          <w:b/>
          <w:color w:val="000000"/>
          <w:szCs w:val="20"/>
        </w:rPr>
      </w:pPr>
      <w:proofErr w:type="gramStart"/>
      <w:r>
        <w:rPr>
          <w:rFonts w:cs="Arial"/>
          <w:szCs w:val="20"/>
        </w:rPr>
        <w:t>receber</w:t>
      </w:r>
      <w:proofErr w:type="gramEnd"/>
      <w:r>
        <w:rPr>
          <w:rFonts w:cs="Arial"/>
          <w:szCs w:val="20"/>
        </w:rPr>
        <w:t xml:space="preserve"> o objeto no prazo e condições estabelecidas no Edital e seus anexos;</w:t>
      </w:r>
    </w:p>
    <w:p w:rsidR="00093980" w:rsidRDefault="00C13335">
      <w:pPr>
        <w:numPr>
          <w:ilvl w:val="2"/>
          <w:numId w:val="2"/>
        </w:numPr>
        <w:spacing w:before="120" w:after="120"/>
        <w:ind w:left="1134" w:firstLine="0"/>
        <w:jc w:val="both"/>
        <w:rPr>
          <w:rFonts w:cs="Arial"/>
          <w:b/>
          <w:color w:val="000000"/>
          <w:szCs w:val="20"/>
        </w:rPr>
      </w:pPr>
      <w:proofErr w:type="gramStart"/>
      <w:r>
        <w:rPr>
          <w:rFonts w:cs="Arial"/>
          <w:szCs w:val="20"/>
          <w:lang w:eastAsia="en-US"/>
        </w:rPr>
        <w:t>verificar</w:t>
      </w:r>
      <w:proofErr w:type="gramEnd"/>
      <w:r>
        <w:rPr>
          <w:rFonts w:cs="Arial"/>
          <w:szCs w:val="20"/>
          <w:lang w:eastAsia="en-US"/>
        </w:rPr>
        <w:t xml:space="preserve"> minuciosamente, no prazo fixado, a conformidade dos bens recebidos provisoriamente com as especificações constantes do Edital e da proposta, para fins de aceitação e recebimento definitivo;</w:t>
      </w:r>
    </w:p>
    <w:p w:rsidR="00093980" w:rsidRDefault="00C13335">
      <w:pPr>
        <w:numPr>
          <w:ilvl w:val="2"/>
          <w:numId w:val="2"/>
        </w:numPr>
        <w:spacing w:before="120" w:after="120"/>
        <w:ind w:left="1134" w:firstLine="0"/>
        <w:jc w:val="both"/>
        <w:rPr>
          <w:rFonts w:cs="Arial"/>
          <w:b/>
          <w:color w:val="000000"/>
          <w:szCs w:val="20"/>
        </w:rPr>
      </w:pPr>
      <w:proofErr w:type="gramStart"/>
      <w:r>
        <w:rPr>
          <w:rFonts w:cs="Arial"/>
          <w:szCs w:val="20"/>
        </w:rPr>
        <w:lastRenderedPageBreak/>
        <w:t>comunicar</w:t>
      </w:r>
      <w:proofErr w:type="gramEnd"/>
      <w:r>
        <w:rPr>
          <w:rFonts w:cs="Arial"/>
          <w:szCs w:val="20"/>
        </w:rPr>
        <w:t xml:space="preserve"> à Contratada, por escrito, sobre imperfeições, falhas ou irregularidades verificadas no objeto fornecido, para que seja substituído, reparado ou corrigido;</w:t>
      </w:r>
    </w:p>
    <w:p w:rsidR="00093980" w:rsidRDefault="00C13335">
      <w:pPr>
        <w:numPr>
          <w:ilvl w:val="2"/>
          <w:numId w:val="2"/>
        </w:numPr>
        <w:spacing w:before="120" w:after="120"/>
        <w:ind w:left="1134" w:firstLine="0"/>
        <w:jc w:val="both"/>
        <w:rPr>
          <w:rFonts w:cs="Arial"/>
          <w:b/>
          <w:color w:val="000000"/>
          <w:szCs w:val="20"/>
        </w:rPr>
      </w:pPr>
      <w:proofErr w:type="gramStart"/>
      <w:r>
        <w:rPr>
          <w:rFonts w:cs="Arial"/>
          <w:szCs w:val="20"/>
          <w:lang w:eastAsia="en-US"/>
        </w:rPr>
        <w:t>acompanhar</w:t>
      </w:r>
      <w:proofErr w:type="gramEnd"/>
      <w:r>
        <w:rPr>
          <w:rFonts w:cs="Arial"/>
          <w:szCs w:val="20"/>
          <w:lang w:eastAsia="en-US"/>
        </w:rPr>
        <w:t xml:space="preserve"> e fiscalizar o cumprimento das obrigações da Contratada, através de comissão/servidor especialmente designado;</w:t>
      </w:r>
    </w:p>
    <w:p w:rsidR="00093980" w:rsidRDefault="00C13335">
      <w:pPr>
        <w:numPr>
          <w:ilvl w:val="2"/>
          <w:numId w:val="2"/>
        </w:numPr>
        <w:spacing w:before="120" w:after="120"/>
        <w:ind w:left="1134" w:firstLine="0"/>
        <w:jc w:val="both"/>
        <w:rPr>
          <w:rFonts w:cs="Arial"/>
          <w:b/>
          <w:color w:val="000000"/>
          <w:szCs w:val="20"/>
        </w:rPr>
      </w:pPr>
      <w:proofErr w:type="gramStart"/>
      <w:r>
        <w:rPr>
          <w:rFonts w:cs="Arial"/>
          <w:szCs w:val="20"/>
        </w:rPr>
        <w:t>efetuar</w:t>
      </w:r>
      <w:proofErr w:type="gramEnd"/>
      <w:r>
        <w:rPr>
          <w:rFonts w:cs="Arial"/>
          <w:szCs w:val="20"/>
        </w:rPr>
        <w:t xml:space="preserve"> o pagamento à Contratada</w:t>
      </w:r>
      <w:r>
        <w:rPr>
          <w:rFonts w:cs="Arial"/>
          <w:b/>
          <w:szCs w:val="20"/>
        </w:rPr>
        <w:t xml:space="preserve"> </w:t>
      </w:r>
      <w:r>
        <w:rPr>
          <w:rFonts w:cs="Arial"/>
          <w:szCs w:val="20"/>
        </w:rPr>
        <w:t>no valor correspondente ao fornecimento do objeto, no prazo e forma estabelecidos no Edital e seus anexos;</w:t>
      </w:r>
    </w:p>
    <w:p w:rsidR="00093980" w:rsidRDefault="00C13335">
      <w:pPr>
        <w:numPr>
          <w:ilvl w:val="1"/>
          <w:numId w:val="2"/>
        </w:numPr>
        <w:spacing w:before="120" w:after="120"/>
        <w:ind w:left="425" w:firstLine="0"/>
        <w:jc w:val="both"/>
        <w:rPr>
          <w:rFonts w:cs="Arial"/>
          <w:b/>
          <w:color w:val="000000"/>
          <w:szCs w:val="20"/>
        </w:rPr>
      </w:pPr>
      <w:r>
        <w:rPr>
          <w:rFonts w:cs="Arial"/>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980" w:rsidRDefault="00C13335">
      <w:pPr>
        <w:pStyle w:val="Nivel1"/>
      </w:pPr>
      <w:r>
        <w:t>OBRIGAÇÕES DA CONTRATADA</w:t>
      </w:r>
    </w:p>
    <w:p w:rsidR="00093980" w:rsidRDefault="00C13335">
      <w:pPr>
        <w:numPr>
          <w:ilvl w:val="1"/>
          <w:numId w:val="2"/>
        </w:numPr>
        <w:spacing w:before="120" w:after="120"/>
        <w:ind w:left="425" w:firstLine="0"/>
        <w:jc w:val="both"/>
        <w:rPr>
          <w:rFonts w:cs="Arial"/>
          <w:b/>
          <w:color w:val="000000"/>
          <w:szCs w:val="20"/>
        </w:rPr>
      </w:pPr>
      <w:r>
        <w:rPr>
          <w:rFonts w:cs="Arial"/>
          <w:szCs w:val="20"/>
        </w:rPr>
        <w:t>A Contratada deve cumprir todas as obrigações constantes no Edital, seus anexos e sua proposta, assumindo como exclusivamente seus os riscos e as despesas decorrentes da boa e perfeita execução do objeto e, ainda:</w:t>
      </w:r>
    </w:p>
    <w:p w:rsidR="00093980" w:rsidRDefault="00C13335">
      <w:pPr>
        <w:numPr>
          <w:ilvl w:val="2"/>
          <w:numId w:val="2"/>
        </w:numPr>
        <w:spacing w:before="120" w:after="120"/>
        <w:ind w:left="1134" w:firstLine="0"/>
        <w:jc w:val="both"/>
        <w:rPr>
          <w:rFonts w:cs="Arial"/>
          <w:b/>
          <w:szCs w:val="20"/>
        </w:rPr>
      </w:pPr>
      <w:proofErr w:type="gramStart"/>
      <w:r>
        <w:rPr>
          <w:rFonts w:cs="Arial"/>
          <w:szCs w:val="20"/>
        </w:rPr>
        <w:t>efetuar</w:t>
      </w:r>
      <w:proofErr w:type="gramEnd"/>
      <w:r>
        <w:rPr>
          <w:rFonts w:cs="Arial"/>
          <w:szCs w:val="20"/>
        </w:rPr>
        <w:t xml:space="preserve"> a entrega do objeto em perfeitas condições, conforme especificações, prazo e local constantes no Termo de Referência e seus anexos, acompanhado da respectiva nota fiscal, na qual constarão as indicações referentes a: </w:t>
      </w:r>
      <w:r>
        <w:rPr>
          <w:rFonts w:cs="Arial"/>
          <w:i/>
          <w:szCs w:val="20"/>
        </w:rPr>
        <w:t>marca, fabricante, modelo, procedência e prazo de garantia ou validade;</w:t>
      </w:r>
    </w:p>
    <w:p w:rsidR="00093980" w:rsidRDefault="00C13335">
      <w:pPr>
        <w:numPr>
          <w:ilvl w:val="3"/>
          <w:numId w:val="2"/>
        </w:numPr>
        <w:spacing w:before="120" w:after="120"/>
        <w:ind w:left="1701" w:firstLine="0"/>
        <w:jc w:val="both"/>
        <w:rPr>
          <w:rFonts w:cs="Arial"/>
          <w:i/>
          <w:szCs w:val="20"/>
        </w:rPr>
      </w:pPr>
      <w:r>
        <w:rPr>
          <w:rFonts w:cs="Arial"/>
          <w:szCs w:val="20"/>
        </w:rPr>
        <w:t>O</w:t>
      </w:r>
      <w:r>
        <w:rPr>
          <w:rFonts w:cs="Arial"/>
          <w:i/>
          <w:szCs w:val="20"/>
        </w:rPr>
        <w:t xml:space="preserve"> objeto deve estar acompanhado do manual do usuário, com uma </w:t>
      </w:r>
      <w:r>
        <w:rPr>
          <w:rFonts w:cs="Arial"/>
          <w:bCs/>
          <w:i/>
          <w:iCs/>
          <w:szCs w:val="20"/>
          <w:lang w:eastAsia="en-US"/>
        </w:rPr>
        <w:t>versão</w:t>
      </w:r>
      <w:r>
        <w:rPr>
          <w:rFonts w:cs="Arial"/>
          <w:i/>
          <w:szCs w:val="20"/>
        </w:rPr>
        <w:t xml:space="preserve"> em português e da relação da rede de assistência técnica autorizada;</w:t>
      </w:r>
    </w:p>
    <w:p w:rsidR="00093980" w:rsidRDefault="00C13335">
      <w:pPr>
        <w:numPr>
          <w:ilvl w:val="2"/>
          <w:numId w:val="2"/>
        </w:numPr>
        <w:spacing w:before="120" w:after="120"/>
        <w:ind w:left="1134" w:firstLine="0"/>
        <w:jc w:val="both"/>
        <w:rPr>
          <w:rFonts w:cs="Arial"/>
          <w:szCs w:val="20"/>
        </w:rPr>
      </w:pPr>
      <w:proofErr w:type="gramStart"/>
      <w:r>
        <w:rPr>
          <w:rFonts w:cs="Arial"/>
          <w:szCs w:val="20"/>
        </w:rPr>
        <w:t>responsabilizar</w:t>
      </w:r>
      <w:proofErr w:type="gramEnd"/>
      <w:r>
        <w:rPr>
          <w:rFonts w:cs="Arial"/>
          <w:szCs w:val="20"/>
        </w:rPr>
        <w:t>-se pelos vícios e danos decorrentes do objeto, de acordo com os artigos 12, 13 e 17 a 27, do Código de Defesa do Consumidor (Lei nº 8.078, de 1990);</w:t>
      </w:r>
    </w:p>
    <w:p w:rsidR="00093980" w:rsidRDefault="00C13335">
      <w:pPr>
        <w:numPr>
          <w:ilvl w:val="2"/>
          <w:numId w:val="2"/>
        </w:numPr>
        <w:spacing w:before="120" w:after="120"/>
        <w:ind w:left="1134" w:firstLine="0"/>
        <w:jc w:val="both"/>
        <w:rPr>
          <w:rFonts w:cs="Arial"/>
          <w:szCs w:val="20"/>
        </w:rPr>
      </w:pPr>
      <w:proofErr w:type="gramStart"/>
      <w:r>
        <w:rPr>
          <w:rFonts w:cs="Arial"/>
          <w:szCs w:val="20"/>
        </w:rPr>
        <w:t>substituir</w:t>
      </w:r>
      <w:proofErr w:type="gramEnd"/>
      <w:r>
        <w:rPr>
          <w:rFonts w:cs="Arial"/>
          <w:szCs w:val="20"/>
        </w:rPr>
        <w:t>, reparar ou corrigir, às suas expensas, no prazo fixado neste Termo de Referência, o objeto com avarias ou defeitos;</w:t>
      </w:r>
    </w:p>
    <w:p w:rsidR="00093980" w:rsidRDefault="00C13335">
      <w:pPr>
        <w:numPr>
          <w:ilvl w:val="2"/>
          <w:numId w:val="2"/>
        </w:numPr>
        <w:spacing w:before="120" w:after="120"/>
        <w:ind w:left="1134" w:firstLine="0"/>
        <w:jc w:val="both"/>
        <w:rPr>
          <w:rFonts w:cs="Arial"/>
          <w:szCs w:val="20"/>
        </w:rPr>
      </w:pPr>
      <w:proofErr w:type="gramStart"/>
      <w:r>
        <w:rPr>
          <w:rFonts w:cs="Arial"/>
          <w:szCs w:val="20"/>
        </w:rPr>
        <w:t>responsabilizar</w:t>
      </w:r>
      <w:proofErr w:type="gramEnd"/>
      <w:r>
        <w:rPr>
          <w:rFonts w:cs="Arial"/>
          <w:szCs w:val="20"/>
        </w:rPr>
        <w:t>-se por todas as despesas diretas e indiretas dos valores devidos aos seus empregados no cumprimento das obrigações desta licitação;</w:t>
      </w:r>
    </w:p>
    <w:p w:rsidR="00093980" w:rsidRDefault="00C13335">
      <w:pPr>
        <w:numPr>
          <w:ilvl w:val="2"/>
          <w:numId w:val="2"/>
        </w:numPr>
        <w:spacing w:before="120" w:after="120"/>
        <w:ind w:left="1134" w:firstLine="0"/>
        <w:jc w:val="both"/>
        <w:rPr>
          <w:rFonts w:cs="Arial"/>
          <w:szCs w:val="20"/>
        </w:rPr>
      </w:pPr>
      <w:proofErr w:type="gramStart"/>
      <w:r>
        <w:rPr>
          <w:rFonts w:cs="Arial"/>
          <w:szCs w:val="20"/>
        </w:rPr>
        <w:t>responsabilizar</w:t>
      </w:r>
      <w:proofErr w:type="gramEnd"/>
      <w:r>
        <w:rPr>
          <w:rFonts w:cs="Arial"/>
          <w:szCs w:val="20"/>
        </w:rPr>
        <w:t xml:space="preserve">-se por possíveis indenizações decorrentes da execução da presente contratação, ocasionadas por erros ou falhas de seus funcionários ou preposto, quando de sua execução; </w:t>
      </w:r>
    </w:p>
    <w:p w:rsidR="00093980" w:rsidRDefault="00C13335">
      <w:pPr>
        <w:numPr>
          <w:ilvl w:val="2"/>
          <w:numId w:val="2"/>
        </w:numPr>
        <w:spacing w:before="120" w:after="120"/>
        <w:ind w:left="1134" w:firstLine="0"/>
        <w:jc w:val="both"/>
        <w:rPr>
          <w:rFonts w:cs="Arial"/>
          <w:szCs w:val="20"/>
        </w:rPr>
      </w:pPr>
      <w:proofErr w:type="gramStart"/>
      <w:r>
        <w:rPr>
          <w:rFonts w:cs="Arial"/>
          <w:szCs w:val="20"/>
        </w:rPr>
        <w:t>comunicar</w:t>
      </w:r>
      <w:proofErr w:type="gramEnd"/>
      <w:r>
        <w:rPr>
          <w:rFonts w:cs="Arial"/>
          <w:szCs w:val="20"/>
        </w:rPr>
        <w:t xml:space="preserve"> à Contratante, no prazo máximo de 24 (vinte e quatro) horas que antecede a data da entrega, os motivos que impossibilitem o cumprimento do prazo previsto, com a devida comprovação;</w:t>
      </w:r>
    </w:p>
    <w:p w:rsidR="00093980" w:rsidRDefault="00C13335">
      <w:pPr>
        <w:numPr>
          <w:ilvl w:val="2"/>
          <w:numId w:val="2"/>
        </w:numPr>
        <w:spacing w:before="120" w:after="120"/>
        <w:ind w:left="1134" w:firstLine="0"/>
        <w:jc w:val="both"/>
        <w:rPr>
          <w:rFonts w:cs="Arial"/>
          <w:szCs w:val="20"/>
        </w:rPr>
      </w:pPr>
      <w:proofErr w:type="gramStart"/>
      <w:r>
        <w:rPr>
          <w:rFonts w:cs="Arial"/>
          <w:szCs w:val="20"/>
        </w:rPr>
        <w:t>manter</w:t>
      </w:r>
      <w:proofErr w:type="gramEnd"/>
      <w:r>
        <w:rPr>
          <w:rFonts w:cs="Arial"/>
          <w:szCs w:val="20"/>
        </w:rPr>
        <w:t>, durante toda a execução do contrato, em compatibilidade com as obrigações assumidas, todas as condições de habilitação e qualificação exigidas na licitação;</w:t>
      </w:r>
    </w:p>
    <w:p w:rsidR="00093980" w:rsidRDefault="00C13335">
      <w:pPr>
        <w:numPr>
          <w:ilvl w:val="2"/>
          <w:numId w:val="2"/>
        </w:numPr>
        <w:spacing w:before="120" w:after="120"/>
        <w:ind w:left="1134" w:firstLine="0"/>
        <w:jc w:val="both"/>
        <w:rPr>
          <w:rFonts w:cs="Arial"/>
          <w:szCs w:val="20"/>
        </w:rPr>
      </w:pPr>
      <w:proofErr w:type="gramStart"/>
      <w:r>
        <w:rPr>
          <w:rFonts w:cs="Arial"/>
          <w:szCs w:val="20"/>
        </w:rPr>
        <w:t>indicar</w:t>
      </w:r>
      <w:proofErr w:type="gramEnd"/>
      <w:r>
        <w:rPr>
          <w:rFonts w:cs="Arial"/>
          <w:szCs w:val="20"/>
        </w:rPr>
        <w:t xml:space="preserve"> preposto para representá-la durante a execução do contrato.</w:t>
      </w:r>
    </w:p>
    <w:p w:rsidR="00093980" w:rsidRDefault="00C13335">
      <w:pPr>
        <w:pStyle w:val="Nivel1"/>
      </w:pPr>
      <w:r>
        <w:t>DA SUBCONTRATAÇÃO</w:t>
      </w:r>
    </w:p>
    <w:p w:rsidR="00093980" w:rsidRDefault="00C13335">
      <w:pPr>
        <w:spacing w:before="120" w:after="120"/>
        <w:ind w:left="425"/>
        <w:jc w:val="both"/>
        <w:rPr>
          <w:rFonts w:cs="Arial"/>
          <w:i/>
          <w:szCs w:val="20"/>
        </w:rPr>
      </w:pPr>
      <w:r>
        <w:rPr>
          <w:rFonts w:cs="Arial"/>
          <w:i/>
          <w:szCs w:val="20"/>
        </w:rPr>
        <w:t xml:space="preserve">7.1 Não </w:t>
      </w:r>
      <w:proofErr w:type="gramStart"/>
      <w:r>
        <w:rPr>
          <w:rFonts w:cs="Arial"/>
          <w:i/>
          <w:szCs w:val="20"/>
        </w:rPr>
        <w:t>será</w:t>
      </w:r>
      <w:proofErr w:type="gramEnd"/>
      <w:r>
        <w:rPr>
          <w:rFonts w:cs="Arial"/>
          <w:i/>
          <w:szCs w:val="20"/>
        </w:rPr>
        <w:t xml:space="preserve"> admitida a subcontratação do objeto licitatório.</w:t>
      </w:r>
    </w:p>
    <w:p w:rsidR="00093980" w:rsidRDefault="00C13335">
      <w:pPr>
        <w:pStyle w:val="Nivel1"/>
        <w:rPr>
          <w:lang w:eastAsia="en-US"/>
        </w:rPr>
      </w:pPr>
      <w:r>
        <w:rPr>
          <w:lang w:eastAsia="en-US"/>
        </w:rPr>
        <w:lastRenderedPageBreak/>
        <w:t>DA ALTERAÇÃO SUBJETIVA</w:t>
      </w:r>
    </w:p>
    <w:p w:rsidR="00093980" w:rsidRDefault="00C13335">
      <w:pPr>
        <w:numPr>
          <w:ilvl w:val="1"/>
          <w:numId w:val="2"/>
        </w:numPr>
        <w:spacing w:before="120" w:after="120"/>
        <w:ind w:left="425" w:firstLine="0"/>
        <w:jc w:val="both"/>
        <w:rPr>
          <w:rFonts w:cs="Arial"/>
          <w:color w:val="0000FF"/>
          <w:szCs w:val="20"/>
          <w:lang w:eastAsia="en-US"/>
        </w:rPr>
      </w:pPr>
      <w:r>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980" w:rsidRDefault="00C13335">
      <w:pPr>
        <w:pStyle w:val="Nivel1"/>
        <w:rPr>
          <w:lang w:eastAsia="en-US"/>
        </w:rPr>
      </w:pPr>
      <w:r>
        <w:rPr>
          <w:lang w:eastAsia="en-US"/>
        </w:rPr>
        <w:t xml:space="preserve">DO CONTROLE </w:t>
      </w:r>
      <w:r>
        <w:rPr>
          <w:color w:val="auto"/>
          <w:lang w:eastAsia="en-US"/>
        </w:rPr>
        <w:t xml:space="preserve">E FISCALIZAÇÃO DA </w:t>
      </w:r>
      <w:r>
        <w:rPr>
          <w:lang w:eastAsia="en-US"/>
        </w:rPr>
        <w:t>EXECUÇÃO</w:t>
      </w:r>
    </w:p>
    <w:p w:rsidR="00093980" w:rsidRDefault="00C13335">
      <w:pPr>
        <w:numPr>
          <w:ilvl w:val="1"/>
          <w:numId w:val="2"/>
        </w:numPr>
        <w:spacing w:before="120" w:after="120"/>
        <w:ind w:left="425" w:firstLine="0"/>
        <w:jc w:val="both"/>
        <w:rPr>
          <w:rFonts w:cs="Arial"/>
          <w:bCs/>
          <w:color w:val="000000"/>
          <w:szCs w:val="20"/>
        </w:rPr>
      </w:pPr>
      <w:r>
        <w:rPr>
          <w:rFonts w:cs="Arial"/>
          <w:color w:val="00000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93980" w:rsidRDefault="00C13335">
      <w:pPr>
        <w:numPr>
          <w:ilvl w:val="2"/>
          <w:numId w:val="2"/>
        </w:numPr>
        <w:spacing w:before="120" w:after="120"/>
        <w:ind w:left="1134" w:firstLine="0"/>
        <w:jc w:val="both"/>
        <w:rPr>
          <w:rFonts w:cs="Arial"/>
          <w:bCs/>
          <w:color w:val="000000"/>
          <w:szCs w:val="20"/>
        </w:rPr>
      </w:pPr>
      <w:r>
        <w:rPr>
          <w:rFonts w:cs="Arial"/>
          <w:color w:val="000000"/>
          <w:szCs w:val="20"/>
          <w:lang w:eastAsia="en-US"/>
        </w:rPr>
        <w:t xml:space="preserve">O recebimento de material de valor superior a R$ 176.000,00 (cento e setenta e seis mil reais) será confiado a uma comissão de, no mínimo, </w:t>
      </w:r>
      <w:proofErr w:type="gramStart"/>
      <w:r>
        <w:rPr>
          <w:rFonts w:cs="Arial"/>
          <w:color w:val="000000"/>
          <w:szCs w:val="20"/>
          <w:lang w:eastAsia="en-US"/>
        </w:rPr>
        <w:t>3</w:t>
      </w:r>
      <w:proofErr w:type="gramEnd"/>
      <w:r>
        <w:rPr>
          <w:rFonts w:cs="Arial"/>
          <w:color w:val="000000"/>
          <w:szCs w:val="20"/>
          <w:lang w:eastAsia="en-US"/>
        </w:rPr>
        <w:t xml:space="preserve"> (três) membros, designados pela autoridade competente.</w:t>
      </w:r>
    </w:p>
    <w:p w:rsidR="00093980" w:rsidRDefault="00C13335">
      <w:pPr>
        <w:numPr>
          <w:ilvl w:val="1"/>
          <w:numId w:val="2"/>
        </w:numPr>
        <w:spacing w:before="120" w:after="120"/>
        <w:ind w:left="425" w:firstLine="0"/>
        <w:jc w:val="both"/>
        <w:rPr>
          <w:rFonts w:cs="Arial"/>
          <w:color w:val="000000"/>
          <w:szCs w:val="20"/>
          <w:lang w:eastAsia="en-US"/>
        </w:rPr>
      </w:pPr>
      <w:r>
        <w:rPr>
          <w:rFonts w:cs="Arial"/>
          <w:color w:val="000000"/>
          <w:szCs w:val="2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093980" w:rsidRDefault="00C13335">
      <w:pPr>
        <w:numPr>
          <w:ilvl w:val="1"/>
          <w:numId w:val="2"/>
        </w:numPr>
        <w:spacing w:before="120" w:after="120"/>
        <w:ind w:left="425" w:firstLine="0"/>
        <w:jc w:val="both"/>
        <w:rPr>
          <w:rFonts w:cs="Arial"/>
          <w:color w:val="000000"/>
          <w:szCs w:val="20"/>
        </w:rPr>
      </w:pPr>
      <w:r>
        <w:rPr>
          <w:rFonts w:cs="Arial"/>
          <w:color w:val="000000"/>
          <w:szCs w:val="2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93980" w:rsidRDefault="00C13335">
      <w:pPr>
        <w:pStyle w:val="Nivel1"/>
      </w:pPr>
      <w:r>
        <w:t>DO PAGAMENTO</w:t>
      </w:r>
    </w:p>
    <w:p w:rsidR="00093980" w:rsidRDefault="00093980">
      <w:pPr>
        <w:spacing w:before="120" w:after="120"/>
        <w:ind w:left="425"/>
        <w:jc w:val="both"/>
        <w:rPr>
          <w:rFonts w:cs="Arial"/>
          <w:color w:val="000000"/>
          <w:szCs w:val="20"/>
          <w:lang w:eastAsia="en-US"/>
        </w:rPr>
      </w:pPr>
    </w:p>
    <w:p w:rsidR="00093980" w:rsidRDefault="00C13335">
      <w:pPr>
        <w:pStyle w:val="PargrafodaLista"/>
        <w:numPr>
          <w:ilvl w:val="1"/>
          <w:numId w:val="2"/>
        </w:numPr>
        <w:spacing w:before="120" w:after="120"/>
        <w:contextualSpacing w:val="0"/>
        <w:jc w:val="both"/>
        <w:rPr>
          <w:rFonts w:cs="Arial"/>
          <w:color w:val="000000"/>
          <w:szCs w:val="20"/>
          <w:lang w:eastAsia="en-US"/>
        </w:rPr>
      </w:pPr>
      <w:r>
        <w:rPr>
          <w:rFonts w:cs="Arial"/>
          <w:color w:val="000000"/>
          <w:szCs w:val="20"/>
          <w:lang w:eastAsia="en-US"/>
        </w:rPr>
        <w:t xml:space="preserve">O pagamento será realizado no prazo máximo de </w:t>
      </w:r>
      <w:r>
        <w:rPr>
          <w:rFonts w:cs="Arial"/>
          <w:szCs w:val="20"/>
          <w:lang w:eastAsia="en-US"/>
        </w:rPr>
        <w:t>até 30 (trinta) dias</w:t>
      </w:r>
      <w:r>
        <w:rPr>
          <w:rFonts w:cs="Arial"/>
          <w:color w:val="000000"/>
          <w:szCs w:val="20"/>
          <w:lang w:eastAsia="en-US"/>
        </w:rPr>
        <w:t xml:space="preserve">, contados a partir </w:t>
      </w:r>
      <w:r>
        <w:rPr>
          <w:rFonts w:cs="Arial"/>
          <w:color w:val="000000"/>
          <w:szCs w:val="20"/>
        </w:rPr>
        <w:t xml:space="preserve">do recebimento da Nota Fiscal ou Fatura, </w:t>
      </w:r>
      <w:r>
        <w:rPr>
          <w:rFonts w:cs="Arial"/>
          <w:color w:val="000000"/>
          <w:szCs w:val="20"/>
          <w:lang w:eastAsia="en-US"/>
        </w:rPr>
        <w:t xml:space="preserve">através de ordem bancária, para crédito em banco, agência e conta </w:t>
      </w:r>
      <w:proofErr w:type="gramStart"/>
      <w:r>
        <w:rPr>
          <w:rFonts w:cs="Arial"/>
          <w:color w:val="000000"/>
          <w:szCs w:val="20"/>
          <w:lang w:eastAsia="en-US"/>
        </w:rPr>
        <w:t>corrente indicados pelo contratado</w:t>
      </w:r>
      <w:proofErr w:type="gramEnd"/>
      <w:r>
        <w:rPr>
          <w:rFonts w:cs="Arial"/>
          <w:color w:val="000000"/>
          <w:szCs w:val="20"/>
          <w:lang w:eastAsia="en-US"/>
        </w:rPr>
        <w:t>.</w:t>
      </w:r>
    </w:p>
    <w:p w:rsidR="00093980" w:rsidRDefault="00C13335">
      <w:pPr>
        <w:pStyle w:val="PargrafodaLista"/>
        <w:numPr>
          <w:ilvl w:val="2"/>
          <w:numId w:val="2"/>
        </w:numPr>
        <w:spacing w:before="120" w:after="120"/>
        <w:contextualSpacing w:val="0"/>
        <w:jc w:val="both"/>
        <w:rPr>
          <w:rFonts w:cs="Arial"/>
          <w:color w:val="000000"/>
          <w:szCs w:val="20"/>
          <w:lang w:eastAsia="en-US"/>
        </w:rPr>
      </w:pPr>
      <w:r>
        <w:rPr>
          <w:rFonts w:cs="Arial"/>
          <w:szCs w:val="20"/>
          <w:lang w:eastAsia="en-US"/>
        </w:rPr>
        <w:t xml:space="preserve">Os 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w:t>
      </w:r>
      <w:proofErr w:type="gramStart"/>
      <w:r>
        <w:rPr>
          <w:rFonts w:cs="Arial"/>
          <w:szCs w:val="20"/>
          <w:lang w:eastAsia="en-US"/>
        </w:rPr>
        <w:t>5</w:t>
      </w:r>
      <w:proofErr w:type="gramEnd"/>
      <w:r>
        <w:rPr>
          <w:rFonts w:cs="Arial"/>
          <w:szCs w:val="20"/>
          <w:lang w:eastAsia="en-US"/>
        </w:rPr>
        <w:t xml:space="preserve"> (cinco) dias úteis, contados da data da apresentação da Nota Fiscal, nos termos do art. 5º, § 3º, da Lei nº 8.666, de 1993</w:t>
      </w:r>
      <w:r>
        <w:rPr>
          <w:rFonts w:cs="Arial"/>
          <w:color w:val="000000"/>
          <w:szCs w:val="20"/>
          <w:lang w:eastAsia="en-US"/>
        </w:rPr>
        <w:t>.</w:t>
      </w:r>
    </w:p>
    <w:p w:rsidR="00093980" w:rsidRDefault="00C13335">
      <w:pPr>
        <w:pStyle w:val="PargrafodaLista"/>
        <w:numPr>
          <w:ilvl w:val="1"/>
          <w:numId w:val="2"/>
        </w:numPr>
        <w:spacing w:before="120" w:after="120"/>
        <w:contextualSpacing w:val="0"/>
        <w:jc w:val="both"/>
        <w:rPr>
          <w:rFonts w:cs="Arial"/>
          <w:strike/>
          <w:color w:val="000000"/>
        </w:rPr>
      </w:pPr>
      <w:r>
        <w:rPr>
          <w:rFonts w:cs="Arial"/>
          <w:color w:val="000000"/>
          <w:szCs w:val="20"/>
        </w:rPr>
        <w:t>Considera-se ocorrido o recebimento da nota fiscal ou fatura no momento em que o órgão contratante atestar a execução do objeto do contrato.</w:t>
      </w:r>
    </w:p>
    <w:p w:rsidR="00093980" w:rsidRDefault="00C13335">
      <w:pPr>
        <w:numPr>
          <w:ilvl w:val="1"/>
          <w:numId w:val="2"/>
        </w:numPr>
        <w:spacing w:before="120" w:after="120"/>
        <w:jc w:val="both"/>
        <w:rPr>
          <w:color w:val="000000"/>
        </w:rPr>
      </w:pPr>
      <w:r>
        <w:rPr>
          <w:color w:val="000000"/>
        </w:rPr>
        <w:t xml:space="preserve">A Nota Fiscal ou Fatura deverá ser obrigatoriamente acompanhada da comprovação da regularidade fiscal, constatada por meio de consulta on-line ao SICAF ou, na impossibilidade de acesso </w:t>
      </w:r>
      <w:r>
        <w:rPr>
          <w:rFonts w:cs="Arial"/>
          <w:color w:val="000000"/>
          <w:lang w:eastAsia="en-US"/>
        </w:rPr>
        <w:t>ao</w:t>
      </w:r>
      <w:r>
        <w:rPr>
          <w:color w:val="000000"/>
        </w:rPr>
        <w:t xml:space="preserve"> referido Sistema, mediante consulta aos sítios eletrônicos oficiais ou à documentação mencionada no art. 29 da Lei nº 8.666, de 1993. </w:t>
      </w:r>
    </w:p>
    <w:p w:rsidR="00093980" w:rsidRDefault="00C13335">
      <w:pPr>
        <w:numPr>
          <w:ilvl w:val="2"/>
          <w:numId w:val="2"/>
        </w:numPr>
        <w:spacing w:before="120" w:after="120"/>
        <w:jc w:val="both"/>
        <w:rPr>
          <w:color w:val="000000"/>
        </w:rPr>
      </w:pPr>
      <w:r>
        <w:rPr>
          <w:color w:val="000000"/>
        </w:rPr>
        <w:lastRenderedPageBreak/>
        <w:t xml:space="preserve">Constatando-se, junto ao SICAF, a situação de irregularidade do fornecedor contratado, deverão ser tomadas as providências previstas no do art. 31 da Instrução </w:t>
      </w:r>
      <w:r>
        <w:rPr>
          <w:rFonts w:cs="Arial"/>
          <w:color w:val="000000"/>
          <w:lang w:eastAsia="en-US"/>
        </w:rPr>
        <w:t>Normativa</w:t>
      </w:r>
      <w:r>
        <w:rPr>
          <w:color w:val="000000"/>
        </w:rPr>
        <w:t xml:space="preserve"> nº 3, de 26 de abril de 2018.</w:t>
      </w:r>
    </w:p>
    <w:p w:rsidR="00093980" w:rsidRDefault="00C13335">
      <w:pPr>
        <w:pStyle w:val="PargrafodaLista"/>
        <w:numPr>
          <w:ilvl w:val="1"/>
          <w:numId w:val="2"/>
        </w:numPr>
        <w:spacing w:before="120" w:after="120"/>
        <w:ind w:left="425" w:firstLine="0"/>
        <w:contextualSpacing w:val="0"/>
        <w:jc w:val="both"/>
        <w:rPr>
          <w:rFonts w:cs="Arial"/>
          <w:color w:val="000000"/>
          <w:szCs w:val="20"/>
          <w:lang w:eastAsia="en-US"/>
        </w:rPr>
      </w:pPr>
      <w:r>
        <w:rPr>
          <w:rFonts w:cs="Arial"/>
          <w:color w:val="000000"/>
          <w:szCs w:val="20"/>
          <w:lang w:eastAsia="en-US"/>
        </w:rPr>
        <w:t xml:space="preserve">Havendo erro na apresentação da Nota Fiscal ou dos documentos pertinentes à contratação, ou, ainda, circunstância que impeça a liquidação da despesa, como, por exemplo, </w:t>
      </w:r>
      <w:r>
        <w:rPr>
          <w:rFonts w:cs="Arial"/>
          <w:color w:val="000000"/>
          <w:szCs w:val="20"/>
        </w:rPr>
        <w:t>obrigação financeira pendente, decorrente de penalidade imposta ou inadimplência,</w:t>
      </w:r>
      <w:r>
        <w:rPr>
          <w:rFonts w:cs="Arial"/>
          <w:color w:val="00000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093980" w:rsidRDefault="00C13335">
      <w:pPr>
        <w:numPr>
          <w:ilvl w:val="1"/>
          <w:numId w:val="2"/>
        </w:numPr>
        <w:spacing w:before="120" w:after="120"/>
        <w:jc w:val="both"/>
        <w:rPr>
          <w:rFonts w:cs="Arial"/>
          <w:szCs w:val="20"/>
          <w:lang w:eastAsia="en-US"/>
        </w:rPr>
      </w:pPr>
      <w:r>
        <w:rPr>
          <w:rFonts w:cs="Arial"/>
          <w:szCs w:val="20"/>
          <w:lang w:eastAsia="en-US"/>
        </w:rPr>
        <w:t>Será considerada data do pagamento o dia em que constar como emitida a ordem bancária para pagamento.</w:t>
      </w:r>
    </w:p>
    <w:p w:rsidR="00093980" w:rsidRDefault="00C13335">
      <w:pPr>
        <w:numPr>
          <w:ilvl w:val="1"/>
          <w:numId w:val="2"/>
        </w:numPr>
        <w:spacing w:before="120" w:after="120"/>
        <w:jc w:val="both"/>
        <w:rPr>
          <w:rFonts w:cs="Arial"/>
          <w:szCs w:val="20"/>
          <w:lang w:eastAsia="en-US"/>
        </w:rPr>
      </w:pPr>
      <w:r>
        <w:rPr>
          <w:rFonts w:cs="Arial"/>
          <w:szCs w:val="20"/>
          <w:lang w:eastAsia="en-US"/>
        </w:rPr>
        <w:t xml:space="preserve">Antes de cada pagamento à contratada, será realizada consulta ao SICAF para verificar a manutenção das condições de habilitação exigidas no edital. </w:t>
      </w:r>
    </w:p>
    <w:p w:rsidR="00093980" w:rsidRDefault="00C13335">
      <w:pPr>
        <w:numPr>
          <w:ilvl w:val="1"/>
          <w:numId w:val="2"/>
        </w:numPr>
        <w:spacing w:before="120" w:after="120"/>
        <w:jc w:val="both"/>
        <w:rPr>
          <w:rFonts w:cs="Arial"/>
          <w:szCs w:val="20"/>
          <w:lang w:eastAsia="en-US"/>
        </w:rPr>
      </w:pPr>
      <w:r>
        <w:rPr>
          <w:rFonts w:cs="Arial"/>
          <w:szCs w:val="20"/>
          <w:lang w:eastAsia="en-US"/>
        </w:rPr>
        <w:t xml:space="preserve">Constatando-se, junto ao SICAF, a situação de irregularidade da contratada, será providenciada sua notificação, por escrito, para que, no prazo de </w:t>
      </w:r>
      <w:proofErr w:type="gramStart"/>
      <w:r>
        <w:rPr>
          <w:rFonts w:cs="Arial"/>
          <w:szCs w:val="20"/>
          <w:lang w:eastAsia="en-US"/>
        </w:rPr>
        <w:t>5</w:t>
      </w:r>
      <w:proofErr w:type="gramEnd"/>
      <w:r>
        <w:rPr>
          <w:rFonts w:cs="Arial"/>
          <w:szCs w:val="20"/>
          <w:lang w:eastAsia="en-US"/>
        </w:rPr>
        <w:t xml:space="preserve"> (cinco) dias úteis, regularize sua situação ou, no mesmo prazo, apresente sua defesa. O prazo poderá ser prorrogado uma vez, por igual período, a critério da contratante.</w:t>
      </w:r>
    </w:p>
    <w:p w:rsidR="00093980" w:rsidRDefault="00C13335">
      <w:pPr>
        <w:numPr>
          <w:ilvl w:val="1"/>
          <w:numId w:val="2"/>
        </w:numPr>
        <w:spacing w:before="120" w:after="120"/>
        <w:jc w:val="both"/>
        <w:rPr>
          <w:rFonts w:cs="Arial"/>
          <w:szCs w:val="20"/>
          <w:lang w:eastAsia="en-US"/>
        </w:rPr>
      </w:pPr>
      <w:r>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093980" w:rsidRDefault="00C13335">
      <w:pPr>
        <w:numPr>
          <w:ilvl w:val="1"/>
          <w:numId w:val="2"/>
        </w:numPr>
        <w:spacing w:before="120" w:after="120"/>
        <w:jc w:val="both"/>
        <w:rPr>
          <w:rFonts w:cs="Arial"/>
          <w:szCs w:val="20"/>
          <w:lang w:eastAsia="en-US"/>
        </w:rPr>
      </w:pPr>
      <w:r>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93980" w:rsidRDefault="00C13335">
      <w:pPr>
        <w:numPr>
          <w:ilvl w:val="1"/>
          <w:numId w:val="2"/>
        </w:numPr>
        <w:spacing w:before="120" w:after="120"/>
        <w:jc w:val="both"/>
        <w:rPr>
          <w:rFonts w:cs="Arial"/>
          <w:szCs w:val="20"/>
          <w:lang w:eastAsia="en-US"/>
        </w:rPr>
      </w:pPr>
      <w:r>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093980" w:rsidRDefault="00C13335">
      <w:pPr>
        <w:numPr>
          <w:ilvl w:val="1"/>
          <w:numId w:val="2"/>
        </w:numPr>
        <w:spacing w:before="120" w:after="120"/>
        <w:jc w:val="both"/>
        <w:rPr>
          <w:rFonts w:cs="Arial"/>
          <w:szCs w:val="20"/>
          <w:lang w:eastAsia="en-US"/>
        </w:rPr>
      </w:pPr>
      <w:r>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rsidR="00093980" w:rsidRDefault="00C13335">
      <w:pPr>
        <w:pStyle w:val="PargrafodaLista"/>
        <w:spacing w:before="120" w:after="120"/>
        <w:ind w:left="716"/>
        <w:contextualSpacing w:val="0"/>
        <w:jc w:val="both"/>
        <w:rPr>
          <w:rFonts w:cs="Arial"/>
          <w:color w:val="000000"/>
          <w:szCs w:val="20"/>
        </w:rPr>
      </w:pPr>
      <w:proofErr w:type="gramStart"/>
      <w:r>
        <w:rPr>
          <w:rFonts w:cs="Arial"/>
          <w:szCs w:val="20"/>
          <w:lang w:eastAsia="en-US"/>
        </w:rPr>
        <w:t>10.11.1.</w:t>
      </w:r>
      <w:proofErr w:type="gramEnd"/>
      <w:r>
        <w:rPr>
          <w:rFonts w:cs="Arial"/>
          <w:szCs w:val="20"/>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093980" w:rsidRDefault="00C13335">
      <w:pPr>
        <w:pStyle w:val="PargrafodaLista"/>
        <w:numPr>
          <w:ilvl w:val="1"/>
          <w:numId w:val="2"/>
        </w:numPr>
        <w:spacing w:before="120" w:after="120"/>
        <w:contextualSpacing w:val="0"/>
        <w:jc w:val="both"/>
        <w:rPr>
          <w:rFonts w:cs="Arial"/>
          <w:color w:val="000000"/>
          <w:szCs w:val="20"/>
        </w:rPr>
      </w:pPr>
      <w:r>
        <w:rPr>
          <w:rFonts w:cs="Arial"/>
          <w:color w:val="000000"/>
          <w:szCs w:val="20"/>
        </w:rPr>
        <w:t>Quando do pagamento, será efetuada a retenção tributária prevista na legislação aplicável.</w:t>
      </w:r>
    </w:p>
    <w:p w:rsidR="00093980" w:rsidRDefault="00C13335">
      <w:pPr>
        <w:numPr>
          <w:ilvl w:val="2"/>
          <w:numId w:val="2"/>
        </w:numPr>
        <w:tabs>
          <w:tab w:val="left" w:pos="1440"/>
        </w:tabs>
        <w:autoSpaceDE w:val="0"/>
        <w:snapToGrid w:val="0"/>
        <w:spacing w:before="120" w:after="120"/>
        <w:ind w:left="1134" w:firstLine="0"/>
        <w:jc w:val="both"/>
        <w:rPr>
          <w:rFonts w:cs="Arial"/>
          <w:color w:val="000000"/>
          <w:szCs w:val="20"/>
        </w:rPr>
      </w:pPr>
      <w:r>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93980" w:rsidRDefault="00C13335">
      <w:pPr>
        <w:spacing w:before="120" w:after="120"/>
        <w:jc w:val="both"/>
        <w:rPr>
          <w:rFonts w:cs="Arial"/>
          <w:color w:val="000000"/>
          <w:szCs w:val="20"/>
        </w:rPr>
      </w:pPr>
      <w:r>
        <w:rPr>
          <w:rFonts w:cs="Arial"/>
          <w:szCs w:val="20"/>
          <w:lang w:eastAsia="en-US"/>
        </w:rPr>
        <w:lastRenderedPageBreak/>
        <w:t xml:space="preserve"> </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93980" w:rsidRDefault="00C13335">
      <w:pPr>
        <w:tabs>
          <w:tab w:val="left" w:pos="1701"/>
        </w:tabs>
        <w:spacing w:before="120" w:after="120"/>
        <w:ind w:left="425"/>
        <w:jc w:val="both"/>
        <w:rPr>
          <w:rFonts w:cs="Arial"/>
          <w:color w:val="000000"/>
          <w:szCs w:val="20"/>
        </w:rPr>
      </w:pPr>
      <w:r>
        <w:rPr>
          <w:rFonts w:cs="Arial"/>
          <w:color w:val="000000"/>
          <w:szCs w:val="20"/>
        </w:rPr>
        <w:t>EM = I x N x VP, sendo:</w:t>
      </w:r>
    </w:p>
    <w:p w:rsidR="00093980" w:rsidRDefault="00C13335">
      <w:pPr>
        <w:tabs>
          <w:tab w:val="left" w:pos="1701"/>
        </w:tabs>
        <w:spacing w:before="120" w:after="120"/>
        <w:ind w:left="425"/>
        <w:jc w:val="both"/>
        <w:rPr>
          <w:rFonts w:cs="Arial"/>
          <w:snapToGrid w:val="0"/>
          <w:color w:val="000000"/>
          <w:szCs w:val="20"/>
        </w:rPr>
      </w:pPr>
      <w:r>
        <w:rPr>
          <w:rFonts w:cs="Arial"/>
          <w:snapToGrid w:val="0"/>
          <w:color w:val="000000"/>
          <w:szCs w:val="20"/>
        </w:rPr>
        <w:t>EM = Encargos moratórios;</w:t>
      </w:r>
    </w:p>
    <w:p w:rsidR="00093980" w:rsidRDefault="00C13335">
      <w:pPr>
        <w:tabs>
          <w:tab w:val="left" w:pos="1701"/>
        </w:tabs>
        <w:spacing w:before="120" w:after="120"/>
        <w:ind w:left="425"/>
        <w:jc w:val="both"/>
        <w:rPr>
          <w:rFonts w:cs="Arial"/>
          <w:color w:val="000000"/>
          <w:szCs w:val="20"/>
        </w:rPr>
      </w:pPr>
      <w:r>
        <w:rPr>
          <w:rFonts w:cs="Arial"/>
          <w:color w:val="000000"/>
          <w:szCs w:val="20"/>
        </w:rPr>
        <w:t>N = Número de dias entre a data prevista para o pagamento e a do efetivo pagamento;</w:t>
      </w:r>
    </w:p>
    <w:p w:rsidR="00093980" w:rsidRDefault="00C13335">
      <w:pPr>
        <w:tabs>
          <w:tab w:val="left" w:pos="1701"/>
        </w:tabs>
        <w:spacing w:before="120" w:after="120"/>
        <w:ind w:left="425"/>
        <w:jc w:val="both"/>
        <w:rPr>
          <w:rFonts w:cs="Arial"/>
          <w:color w:val="000000"/>
          <w:szCs w:val="20"/>
        </w:rPr>
      </w:pPr>
      <w:r>
        <w:rPr>
          <w:rFonts w:cs="Arial"/>
          <w:color w:val="000000"/>
          <w:szCs w:val="20"/>
        </w:rPr>
        <w:t>VP = Valor da parcela a ser paga.</w:t>
      </w:r>
    </w:p>
    <w:p w:rsidR="00093980" w:rsidRDefault="00C13335">
      <w:pPr>
        <w:tabs>
          <w:tab w:val="left" w:pos="1701"/>
        </w:tabs>
        <w:spacing w:before="120" w:after="120"/>
        <w:ind w:left="425"/>
        <w:jc w:val="both"/>
        <w:rPr>
          <w:rFonts w:cs="Arial"/>
          <w:color w:val="000000"/>
          <w:szCs w:val="20"/>
        </w:rPr>
      </w:pPr>
      <w:r>
        <w:rPr>
          <w:rFonts w:cs="Arial"/>
          <w:snapToGrid w:val="0"/>
          <w:color w:val="000000"/>
          <w:szCs w:val="20"/>
        </w:rPr>
        <w:t xml:space="preserve">I = Índice de compensação financeira = </w:t>
      </w:r>
      <w:proofErr w:type="gramStart"/>
      <w:r>
        <w:rPr>
          <w:rFonts w:cs="Arial"/>
          <w:color w:val="000000"/>
          <w:szCs w:val="20"/>
        </w:rPr>
        <w:t>0,00016438, assim apurado</w:t>
      </w:r>
      <w:proofErr w:type="gramEnd"/>
      <w:r>
        <w:rPr>
          <w:rFonts w:cs="Arial"/>
          <w:color w:val="000000"/>
          <w:szCs w:val="20"/>
        </w:rPr>
        <w:t>:</w:t>
      </w:r>
    </w:p>
    <w:tbl>
      <w:tblPr>
        <w:tblStyle w:val="Tabelacomgrade"/>
        <w:tblW w:w="8862"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14"/>
        <w:gridCol w:w="588"/>
        <w:gridCol w:w="1276"/>
        <w:gridCol w:w="4784"/>
      </w:tblGrid>
      <w:tr w:rsidR="00093980">
        <w:tc>
          <w:tcPr>
            <w:tcW w:w="2214" w:type="dxa"/>
            <w:vAlign w:val="center"/>
          </w:tcPr>
          <w:p w:rsidR="00093980" w:rsidRDefault="00C13335">
            <w:pPr>
              <w:tabs>
                <w:tab w:val="left" w:pos="1701"/>
              </w:tabs>
              <w:jc w:val="center"/>
              <w:rPr>
                <w:rFonts w:cs="Arial"/>
                <w:color w:val="000000"/>
                <w:szCs w:val="20"/>
              </w:rPr>
            </w:pPr>
            <w:r>
              <w:rPr>
                <w:rFonts w:cs="Arial"/>
                <w:color w:val="000000"/>
                <w:szCs w:val="20"/>
              </w:rPr>
              <w:t>I = (TX)</w:t>
            </w:r>
          </w:p>
        </w:tc>
        <w:tc>
          <w:tcPr>
            <w:tcW w:w="588" w:type="dxa"/>
            <w:vAlign w:val="center"/>
          </w:tcPr>
          <w:p w:rsidR="00093980" w:rsidRDefault="00C13335">
            <w:pPr>
              <w:tabs>
                <w:tab w:val="left" w:pos="1701"/>
              </w:tabs>
              <w:rPr>
                <w:rFonts w:cs="Arial"/>
                <w:color w:val="000000"/>
                <w:szCs w:val="20"/>
              </w:rPr>
            </w:pPr>
            <w:r>
              <w:rPr>
                <w:rFonts w:cs="Arial"/>
                <w:color w:val="000000"/>
                <w:szCs w:val="20"/>
              </w:rPr>
              <w:t xml:space="preserve">I = </w:t>
            </w:r>
          </w:p>
        </w:tc>
        <w:tc>
          <w:tcPr>
            <w:tcW w:w="1276" w:type="dxa"/>
            <w:tcBorders>
              <w:bottom w:val="single" w:sz="4" w:space="0" w:color="auto"/>
            </w:tcBorders>
          </w:tcPr>
          <w:p w:rsidR="00093980" w:rsidRDefault="00C13335">
            <w:pPr>
              <w:tabs>
                <w:tab w:val="left" w:pos="1701"/>
              </w:tabs>
              <w:jc w:val="center"/>
              <w:rPr>
                <w:rFonts w:cs="Arial"/>
                <w:color w:val="000000"/>
                <w:szCs w:val="20"/>
              </w:rPr>
            </w:pPr>
            <w:proofErr w:type="gramStart"/>
            <w:r>
              <w:rPr>
                <w:rFonts w:cs="Arial"/>
                <w:color w:val="000000"/>
                <w:szCs w:val="20"/>
              </w:rPr>
              <w:t xml:space="preserve">( </w:t>
            </w:r>
            <w:proofErr w:type="gramEnd"/>
            <w:r>
              <w:rPr>
                <w:rFonts w:cs="Arial"/>
                <w:color w:val="000000"/>
                <w:szCs w:val="20"/>
              </w:rPr>
              <w:t>6 / 100 )</w:t>
            </w:r>
          </w:p>
        </w:tc>
        <w:tc>
          <w:tcPr>
            <w:tcW w:w="4784" w:type="dxa"/>
            <w:vAlign w:val="center"/>
          </w:tcPr>
          <w:p w:rsidR="00093980" w:rsidRDefault="00C13335">
            <w:pPr>
              <w:tabs>
                <w:tab w:val="left" w:pos="1701"/>
              </w:tabs>
              <w:ind w:left="742"/>
              <w:rPr>
                <w:rFonts w:cs="Arial"/>
                <w:color w:val="000000"/>
                <w:szCs w:val="20"/>
              </w:rPr>
            </w:pPr>
            <w:r>
              <w:rPr>
                <w:rFonts w:cs="Arial"/>
                <w:color w:val="000000"/>
                <w:szCs w:val="20"/>
              </w:rPr>
              <w:t>I = 0,00016438</w:t>
            </w:r>
          </w:p>
          <w:p w:rsidR="00093980" w:rsidRDefault="00C13335">
            <w:pPr>
              <w:tabs>
                <w:tab w:val="left" w:pos="1701"/>
              </w:tabs>
              <w:ind w:left="742"/>
              <w:rPr>
                <w:rFonts w:cs="Arial"/>
                <w:color w:val="000000"/>
                <w:szCs w:val="20"/>
              </w:rPr>
            </w:pPr>
            <w:r>
              <w:rPr>
                <w:rFonts w:cs="Arial"/>
                <w:color w:val="000000"/>
                <w:szCs w:val="20"/>
              </w:rPr>
              <w:t>TX = Percentual da taxa anual = 6%</w:t>
            </w:r>
          </w:p>
        </w:tc>
      </w:tr>
    </w:tbl>
    <w:p w:rsidR="00093980" w:rsidRDefault="00C13335">
      <w:r>
        <w:t xml:space="preserve">                                                            365</w:t>
      </w:r>
    </w:p>
    <w:p w:rsidR="00093980" w:rsidRDefault="00093980"/>
    <w:p w:rsidR="00093980" w:rsidRDefault="00C13335">
      <w:pPr>
        <w:pStyle w:val="Nivel1"/>
      </w:pPr>
      <w:r>
        <w:t xml:space="preserve">DO REAJUSTE </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Os preços são fixos e irreajustáveis no prazo de um ano contado da data limite para a apresentação das propostas.</w:t>
      </w:r>
    </w:p>
    <w:p w:rsidR="00093980" w:rsidRDefault="00C13335">
      <w:pPr>
        <w:pStyle w:val="PargrafodaLista"/>
        <w:numPr>
          <w:ilvl w:val="2"/>
          <w:numId w:val="2"/>
        </w:numPr>
        <w:spacing w:before="120" w:after="120"/>
        <w:ind w:left="1134" w:firstLine="0"/>
        <w:contextualSpacing w:val="0"/>
        <w:jc w:val="both"/>
        <w:rPr>
          <w:rFonts w:cs="Arial"/>
          <w:color w:val="000000"/>
          <w:szCs w:val="20"/>
        </w:rPr>
      </w:pPr>
      <w:r>
        <w:rPr>
          <w:rFonts w:cs="Arial"/>
          <w:szCs w:val="20"/>
        </w:rPr>
        <w:t>Dentro do prazo de vigência do contrato e mediante solicitação da contratada, os preços contratados poderão sofrer reajuste após o interregno de um ano, aplicando-se o índice IPCA/IBGE ou tabela da ANP exclusivamente para as obrigações iniciadas e concluídas após a ocorrência da anualidade</w:t>
      </w:r>
      <w:r>
        <w:rPr>
          <w:rFonts w:cs="Arial"/>
          <w:color w:val="000000"/>
          <w:szCs w:val="20"/>
        </w:rPr>
        <w:t>.</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Nos reajustes subsequentes ao primeiro, o interregno mínimo de um ano será contado a partir dos efeitos financeiros do último reajuste.</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Pr>
          <w:rFonts w:cs="Arial"/>
          <w:color w:val="000000"/>
          <w:szCs w:val="20"/>
        </w:rPr>
        <w:t>divulgado</w:t>
      </w:r>
      <w:proofErr w:type="gramEnd"/>
      <w:r>
        <w:rPr>
          <w:rFonts w:cs="Arial"/>
          <w:color w:val="000000"/>
          <w:szCs w:val="20"/>
        </w:rPr>
        <w:t xml:space="preserve"> o índice definitivo. Fica a CONTRATADA obrigada a apresentar memória de cálculo referente ao reajustamento de preços do valor remanescente, sempre que este ocorrer. </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Nas aferições finais, o índice utilizado para reajuste será, obrigatoriamente, o definitivo.</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Caso o índice estabelecido para reajustamento venha a ser extinto ou de qualquer forma não possa mais ser utilizado, será adotado, em substituição, o que vier a ser determinado pela legislação então em vigor.</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 xml:space="preserve">Na ausência de previsão legal quanto ao índice substituto, as partes elegerão novo índice oficial, para reajustamento do preço do valor remanescente, por meio de termo aditivo. </w:t>
      </w:r>
    </w:p>
    <w:p w:rsidR="00093980" w:rsidRDefault="00C13335">
      <w:pPr>
        <w:pStyle w:val="PargrafodaLista"/>
        <w:numPr>
          <w:ilvl w:val="1"/>
          <w:numId w:val="2"/>
        </w:numPr>
        <w:spacing w:before="120" w:after="120"/>
        <w:ind w:left="425" w:firstLine="0"/>
        <w:contextualSpacing w:val="0"/>
        <w:jc w:val="both"/>
        <w:rPr>
          <w:rFonts w:cs="Arial"/>
          <w:color w:val="000000"/>
          <w:szCs w:val="20"/>
        </w:rPr>
      </w:pPr>
      <w:r>
        <w:rPr>
          <w:rFonts w:cs="Arial"/>
          <w:color w:val="000000"/>
          <w:szCs w:val="20"/>
        </w:rPr>
        <w:t xml:space="preserve">O reajuste será realizado por </w:t>
      </w:r>
      <w:proofErr w:type="spellStart"/>
      <w:r>
        <w:rPr>
          <w:rFonts w:cs="Arial"/>
          <w:color w:val="000000"/>
          <w:szCs w:val="20"/>
        </w:rPr>
        <w:t>apostilamento</w:t>
      </w:r>
      <w:proofErr w:type="spellEnd"/>
      <w:r>
        <w:rPr>
          <w:rFonts w:cs="Arial"/>
          <w:color w:val="000000"/>
          <w:szCs w:val="20"/>
        </w:rPr>
        <w:t>.</w:t>
      </w:r>
    </w:p>
    <w:p w:rsidR="00093980" w:rsidRDefault="00C13335">
      <w:pPr>
        <w:pStyle w:val="Nivel1"/>
      </w:pPr>
      <w:r>
        <w:lastRenderedPageBreak/>
        <w:t>DA GARANTIA DE EXECUÇÃO</w:t>
      </w:r>
    </w:p>
    <w:p w:rsidR="00093980" w:rsidRDefault="00C13335">
      <w:pPr>
        <w:pStyle w:val="PargrafodaLista"/>
        <w:numPr>
          <w:ilvl w:val="1"/>
          <w:numId w:val="2"/>
        </w:numPr>
        <w:spacing w:before="120" w:after="120"/>
        <w:ind w:left="425" w:firstLine="0"/>
        <w:contextualSpacing w:val="0"/>
        <w:jc w:val="both"/>
        <w:rPr>
          <w:rFonts w:cs="Arial"/>
          <w:bCs/>
          <w:i/>
          <w:iCs/>
          <w:szCs w:val="20"/>
        </w:rPr>
      </w:pPr>
      <w:r>
        <w:rPr>
          <w:rFonts w:cs="Arial"/>
          <w:bCs/>
          <w:i/>
          <w:iCs/>
          <w:szCs w:val="20"/>
        </w:rPr>
        <w:t xml:space="preserve">O adjudicatário, no prazo de </w:t>
      </w:r>
      <w:proofErr w:type="gramStart"/>
      <w:r>
        <w:rPr>
          <w:rFonts w:cs="Arial"/>
          <w:bCs/>
          <w:i/>
          <w:iCs/>
          <w:szCs w:val="20"/>
        </w:rPr>
        <w:t>5</w:t>
      </w:r>
      <w:proofErr w:type="gramEnd"/>
      <w:r>
        <w:rPr>
          <w:rFonts w:cs="Arial"/>
          <w:bCs/>
          <w:i/>
          <w:iCs/>
          <w:szCs w:val="20"/>
        </w:rPr>
        <w:t xml:space="preserve"> (cinco dias) após a assinatura do Termo de Contrato ou aceite do instrumento equivalente, prestará garantia no valor correspondente a 1% (um por cento) do valor do Contrato, que será liberada de acordo com as condições previstas neste Edital, conforme disposto no art. 56 da Lei nº 8.666, de 1993, desde que cumpridas as obrigações contratuais.</w:t>
      </w:r>
    </w:p>
    <w:p w:rsidR="00093980" w:rsidRDefault="00093980">
      <w:pPr>
        <w:pStyle w:val="PargrafodaLista"/>
        <w:keepNext/>
        <w:keepLines/>
        <w:numPr>
          <w:ilvl w:val="0"/>
          <w:numId w:val="4"/>
        </w:numPr>
        <w:spacing w:before="120" w:after="120"/>
        <w:contextualSpacing w:val="0"/>
        <w:jc w:val="both"/>
        <w:outlineLvl w:val="0"/>
        <w:rPr>
          <w:rFonts w:eastAsiaTheme="majorEastAsia" w:cs="Arial"/>
          <w:b/>
          <w:i/>
          <w:vanish/>
          <w:color w:val="FF0000"/>
          <w:szCs w:val="20"/>
        </w:rPr>
      </w:pPr>
    </w:p>
    <w:p w:rsidR="00093980" w:rsidRDefault="00093980">
      <w:pPr>
        <w:pStyle w:val="PargrafodaLista"/>
        <w:keepNext/>
        <w:keepLines/>
        <w:numPr>
          <w:ilvl w:val="1"/>
          <w:numId w:val="4"/>
        </w:numPr>
        <w:spacing w:before="120" w:after="120"/>
        <w:contextualSpacing w:val="0"/>
        <w:jc w:val="both"/>
        <w:outlineLvl w:val="0"/>
        <w:rPr>
          <w:rFonts w:eastAsiaTheme="majorEastAsia" w:cs="Arial"/>
          <w:b/>
          <w:i/>
          <w:vanish/>
          <w:color w:val="FF0000"/>
          <w:szCs w:val="20"/>
        </w:rPr>
      </w:pPr>
    </w:p>
    <w:p w:rsidR="00093980" w:rsidRDefault="00C13335">
      <w:pPr>
        <w:pStyle w:val="PargrafodaLista"/>
        <w:numPr>
          <w:ilvl w:val="1"/>
          <w:numId w:val="4"/>
        </w:numPr>
        <w:rPr>
          <w:bCs/>
          <w:iCs/>
        </w:rPr>
      </w:pPr>
      <w:r>
        <w:t>Caberá ao contratado optar por uma das seguintes modalidades de garantia: </w:t>
      </w:r>
    </w:p>
    <w:p w:rsidR="00093980" w:rsidRDefault="00C13335">
      <w:pPr>
        <w:pStyle w:val="PargrafodaLista"/>
        <w:spacing w:before="120" w:after="120"/>
        <w:ind w:left="425"/>
        <w:contextualSpacing w:val="0"/>
        <w:jc w:val="both"/>
        <w:rPr>
          <w:rFonts w:cs="Arial"/>
          <w:i/>
          <w:szCs w:val="20"/>
        </w:rPr>
      </w:pPr>
      <w:r>
        <w:rPr>
          <w:rFonts w:cs="Arial"/>
          <w:i/>
          <w:szCs w:val="20"/>
        </w:rPr>
        <w:t xml:space="preserve">12.3.1- caução em dinheiro ou em títulos da dívida pública, devendo estes </w:t>
      </w:r>
      <w:proofErr w:type="gramStart"/>
      <w:r>
        <w:rPr>
          <w:rFonts w:cs="Arial"/>
          <w:i/>
          <w:szCs w:val="20"/>
        </w:rPr>
        <w:t>ter sido emitidos</w:t>
      </w:r>
      <w:proofErr w:type="gramEnd"/>
      <w:r>
        <w:rPr>
          <w:rFonts w:cs="Arial"/>
          <w:i/>
          <w:szCs w:val="20"/>
        </w:rPr>
        <w:t xml:space="preserve"> sob a forma escritural, mediante registro em sistema centralizado de liquidação e de custódia autorizado pelo Banco Central do Brasil e avaliados pelos seus valores econômicos, conforme definido pelo Ministério da Fazenda;   </w:t>
      </w:r>
    </w:p>
    <w:p w:rsidR="00093980" w:rsidRDefault="00C13335">
      <w:pPr>
        <w:pStyle w:val="PargrafodaLista"/>
        <w:spacing w:before="120" w:after="120"/>
        <w:ind w:left="425"/>
        <w:contextualSpacing w:val="0"/>
        <w:jc w:val="both"/>
        <w:rPr>
          <w:rFonts w:cs="Arial"/>
          <w:i/>
          <w:szCs w:val="20"/>
        </w:rPr>
      </w:pPr>
      <w:r>
        <w:rPr>
          <w:rFonts w:cs="Arial"/>
          <w:i/>
          <w:szCs w:val="20"/>
        </w:rPr>
        <w:t>12.3.2- seguro-garantia; </w:t>
      </w:r>
    </w:p>
    <w:p w:rsidR="00093980" w:rsidRDefault="00C13335">
      <w:pPr>
        <w:pStyle w:val="PargrafodaLista"/>
        <w:spacing w:before="120" w:after="120"/>
        <w:ind w:left="425"/>
        <w:contextualSpacing w:val="0"/>
        <w:jc w:val="both"/>
        <w:rPr>
          <w:rFonts w:cs="Arial"/>
          <w:bCs/>
          <w:i/>
          <w:iCs/>
          <w:strike/>
          <w:szCs w:val="20"/>
        </w:rPr>
      </w:pPr>
      <w:r>
        <w:rPr>
          <w:rFonts w:cs="Arial"/>
          <w:i/>
          <w:szCs w:val="20"/>
        </w:rPr>
        <w:t>12.3.3- fiança bancária</w:t>
      </w:r>
      <w:r>
        <w:rPr>
          <w:rFonts w:cs="Arial"/>
          <w:szCs w:val="20"/>
        </w:rPr>
        <w:t>. </w:t>
      </w:r>
    </w:p>
    <w:p w:rsidR="00093980" w:rsidRDefault="00C13335">
      <w:pPr>
        <w:numPr>
          <w:ilvl w:val="1"/>
          <w:numId w:val="2"/>
        </w:numPr>
        <w:spacing w:before="120" w:after="120"/>
        <w:ind w:left="425" w:firstLine="0"/>
        <w:jc w:val="both"/>
        <w:rPr>
          <w:rFonts w:cs="Arial"/>
          <w:bCs/>
          <w:i/>
          <w:iCs/>
          <w:szCs w:val="20"/>
        </w:rPr>
      </w:pPr>
      <w:r>
        <w:rPr>
          <w:rFonts w:cs="Arial"/>
          <w:bCs/>
          <w:i/>
          <w:iCs/>
          <w:szCs w:val="20"/>
        </w:rPr>
        <w:t>A garantia em dinheiro deverá ser efetuada em favor da Contratante, na Caixa Econômica Federal, com correção monetária, em favor do contratante.</w:t>
      </w:r>
    </w:p>
    <w:p w:rsidR="00093980" w:rsidRDefault="00C13335">
      <w:pPr>
        <w:pStyle w:val="PargrafodaLista"/>
        <w:numPr>
          <w:ilvl w:val="1"/>
          <w:numId w:val="2"/>
        </w:numPr>
        <w:spacing w:before="120" w:after="120"/>
        <w:ind w:left="425" w:firstLine="0"/>
        <w:contextualSpacing w:val="0"/>
        <w:jc w:val="both"/>
        <w:rPr>
          <w:rFonts w:cs="Arial"/>
          <w:bCs/>
          <w:i/>
          <w:iCs/>
          <w:szCs w:val="20"/>
        </w:rPr>
      </w:pPr>
      <w:r>
        <w:rPr>
          <w:rFonts w:cs="Arial"/>
          <w:i/>
          <w:szCs w:val="20"/>
          <w:lang w:eastAsia="en-US"/>
        </w:rPr>
        <w:t>No caso de alteração do valor do contrato, ou prorrogação de sua vigência, a garantia deverá ser readequada ou renovada nas mesmas condições.</w:t>
      </w:r>
    </w:p>
    <w:p w:rsidR="00093980" w:rsidRDefault="00C13335">
      <w:pPr>
        <w:pStyle w:val="PargrafodaLista"/>
        <w:numPr>
          <w:ilvl w:val="1"/>
          <w:numId w:val="2"/>
        </w:numPr>
        <w:spacing w:before="120" w:after="120"/>
        <w:ind w:left="425" w:firstLine="0"/>
        <w:contextualSpacing w:val="0"/>
        <w:jc w:val="both"/>
        <w:rPr>
          <w:rFonts w:cs="Arial"/>
          <w:bCs/>
          <w:i/>
          <w:iCs/>
          <w:szCs w:val="20"/>
        </w:rPr>
      </w:pPr>
      <w:r>
        <w:rPr>
          <w:rFonts w:cs="Arial"/>
          <w:bCs/>
          <w:i/>
          <w:iCs/>
          <w:szCs w:val="20"/>
        </w:rPr>
        <w:t xml:space="preserve">Se o valor da garantia for utilizado total ou parcialmente em pagamento de qualquer obrigação, a Contratada obriga-se a fazer a respectiva reposição no prazo máximo de </w:t>
      </w:r>
      <w:proofErr w:type="gramStart"/>
      <w:r>
        <w:rPr>
          <w:rFonts w:cs="Arial"/>
          <w:bCs/>
          <w:i/>
          <w:iCs/>
          <w:szCs w:val="20"/>
        </w:rPr>
        <w:t>2</w:t>
      </w:r>
      <w:proofErr w:type="gramEnd"/>
      <w:r>
        <w:rPr>
          <w:rFonts w:cs="Arial"/>
          <w:bCs/>
          <w:i/>
          <w:iCs/>
          <w:szCs w:val="20"/>
        </w:rPr>
        <w:t xml:space="preserve"> (dois) dias úteis, contados da data em que for notificada.</w:t>
      </w:r>
    </w:p>
    <w:p w:rsidR="00093980" w:rsidRDefault="00C13335">
      <w:pPr>
        <w:numPr>
          <w:ilvl w:val="1"/>
          <w:numId w:val="2"/>
        </w:numPr>
        <w:spacing w:before="120" w:after="120"/>
        <w:ind w:left="425" w:firstLine="0"/>
        <w:jc w:val="both"/>
        <w:rPr>
          <w:rFonts w:cs="Arial"/>
          <w:bCs/>
          <w:i/>
          <w:iCs/>
          <w:szCs w:val="20"/>
        </w:rPr>
      </w:pPr>
      <w:r>
        <w:rPr>
          <w:rFonts w:cs="Arial"/>
          <w:bCs/>
          <w:i/>
          <w:iCs/>
          <w:szCs w:val="20"/>
        </w:rPr>
        <w:t xml:space="preserve">A Contratante executará a garantia na forma prevista na legislação que rege a matéria. </w:t>
      </w:r>
    </w:p>
    <w:p w:rsidR="00093980" w:rsidRDefault="00C13335">
      <w:pPr>
        <w:numPr>
          <w:ilvl w:val="1"/>
          <w:numId w:val="2"/>
        </w:numPr>
        <w:spacing w:before="120" w:after="120"/>
        <w:ind w:left="425" w:firstLine="0"/>
        <w:jc w:val="both"/>
        <w:rPr>
          <w:rFonts w:cs="Arial"/>
          <w:bCs/>
          <w:i/>
          <w:iCs/>
          <w:szCs w:val="20"/>
        </w:rPr>
      </w:pPr>
      <w:r>
        <w:rPr>
          <w:rFonts w:cs="Arial"/>
          <w:bCs/>
          <w:i/>
          <w:iCs/>
          <w:szCs w:val="20"/>
        </w:rPr>
        <w:t xml:space="preserve">A garantia prestada pelo contratado será liberada ou restituída após a execução do contrato e, quando em dinheiro, atualizada monetariamente. </w:t>
      </w:r>
      <w:proofErr w:type="gramStart"/>
      <w:r>
        <w:rPr>
          <w:rFonts w:cs="Arial"/>
          <w:bCs/>
          <w:i/>
          <w:iCs/>
          <w:szCs w:val="20"/>
        </w:rPr>
        <w:t xml:space="preserve">( </w:t>
      </w:r>
      <w:proofErr w:type="gramEnd"/>
      <w:r>
        <w:rPr>
          <w:rFonts w:cs="Arial"/>
          <w:bCs/>
          <w:i/>
          <w:iCs/>
          <w:szCs w:val="20"/>
        </w:rPr>
        <w:t>artigo 56, §4º da Lei nº 8666/93)</w:t>
      </w:r>
    </w:p>
    <w:p w:rsidR="00093980" w:rsidRDefault="00C13335">
      <w:pPr>
        <w:pStyle w:val="Nivel1"/>
        <w:numPr>
          <w:ilvl w:val="0"/>
          <w:numId w:val="5"/>
        </w:numPr>
      </w:pPr>
      <w:r>
        <w:t>DAS SANÇÕES ADMINISTRATIVAS</w:t>
      </w:r>
    </w:p>
    <w:p w:rsidR="00093980" w:rsidRDefault="00C13335">
      <w:pPr>
        <w:numPr>
          <w:ilvl w:val="1"/>
          <w:numId w:val="2"/>
        </w:numPr>
        <w:spacing w:before="120" w:after="120"/>
        <w:ind w:left="425" w:firstLine="0"/>
        <w:jc w:val="both"/>
        <w:rPr>
          <w:rFonts w:cs="Arial"/>
          <w:szCs w:val="20"/>
        </w:rPr>
      </w:pPr>
      <w:r>
        <w:rPr>
          <w:rFonts w:cs="Arial"/>
          <w:szCs w:val="20"/>
        </w:rPr>
        <w:t>Comete infração administrativa nos termos da Lei nº 10.520, de 2002, a Contratada que:</w:t>
      </w:r>
    </w:p>
    <w:p w:rsidR="00093980" w:rsidRDefault="00C13335">
      <w:pPr>
        <w:numPr>
          <w:ilvl w:val="2"/>
          <w:numId w:val="2"/>
        </w:numPr>
        <w:spacing w:before="120" w:after="120"/>
        <w:ind w:left="1134" w:firstLine="0"/>
        <w:jc w:val="both"/>
        <w:rPr>
          <w:rFonts w:cs="Arial"/>
          <w:szCs w:val="20"/>
        </w:rPr>
      </w:pPr>
      <w:proofErr w:type="spellStart"/>
      <w:proofErr w:type="gramStart"/>
      <w:r>
        <w:rPr>
          <w:rFonts w:cs="Arial"/>
          <w:szCs w:val="20"/>
        </w:rPr>
        <w:t>inexecutar</w:t>
      </w:r>
      <w:proofErr w:type="spellEnd"/>
      <w:proofErr w:type="gramEnd"/>
      <w:r>
        <w:rPr>
          <w:rFonts w:cs="Arial"/>
          <w:szCs w:val="20"/>
        </w:rPr>
        <w:t xml:space="preserve"> total ou parcialmente qualquer das obrigações assumidas em decorrência da contratação;</w:t>
      </w:r>
    </w:p>
    <w:p w:rsidR="00093980" w:rsidRDefault="00C13335">
      <w:pPr>
        <w:numPr>
          <w:ilvl w:val="2"/>
          <w:numId w:val="2"/>
        </w:numPr>
        <w:spacing w:before="120" w:after="120"/>
        <w:ind w:left="1134" w:firstLine="0"/>
        <w:jc w:val="both"/>
        <w:rPr>
          <w:rFonts w:cs="Arial"/>
          <w:szCs w:val="20"/>
        </w:rPr>
      </w:pPr>
      <w:proofErr w:type="gramStart"/>
      <w:r>
        <w:rPr>
          <w:rFonts w:cs="Arial"/>
          <w:szCs w:val="20"/>
        </w:rPr>
        <w:t>ensejar</w:t>
      </w:r>
      <w:proofErr w:type="gramEnd"/>
      <w:r>
        <w:rPr>
          <w:rFonts w:cs="Arial"/>
          <w:szCs w:val="20"/>
        </w:rPr>
        <w:t xml:space="preserve"> o retardamento da execução do objeto;</w:t>
      </w:r>
    </w:p>
    <w:p w:rsidR="00093980" w:rsidRDefault="00C13335">
      <w:pPr>
        <w:numPr>
          <w:ilvl w:val="2"/>
          <w:numId w:val="2"/>
        </w:numPr>
        <w:spacing w:before="120" w:after="120"/>
        <w:ind w:left="1134" w:firstLine="0"/>
        <w:jc w:val="both"/>
        <w:rPr>
          <w:rFonts w:cs="Arial"/>
          <w:szCs w:val="20"/>
        </w:rPr>
      </w:pPr>
      <w:proofErr w:type="gramStart"/>
      <w:r>
        <w:rPr>
          <w:rFonts w:cs="Arial"/>
          <w:szCs w:val="20"/>
        </w:rPr>
        <w:t>falhar</w:t>
      </w:r>
      <w:proofErr w:type="gramEnd"/>
      <w:r>
        <w:rPr>
          <w:rFonts w:cs="Arial"/>
          <w:szCs w:val="20"/>
        </w:rPr>
        <w:t xml:space="preserve"> ou fraudar na execução do contrato;</w:t>
      </w:r>
    </w:p>
    <w:p w:rsidR="00093980" w:rsidRDefault="00C13335">
      <w:pPr>
        <w:numPr>
          <w:ilvl w:val="2"/>
          <w:numId w:val="2"/>
        </w:numPr>
        <w:spacing w:before="120" w:after="120"/>
        <w:ind w:left="1134" w:firstLine="0"/>
        <w:jc w:val="both"/>
        <w:rPr>
          <w:rFonts w:cs="Arial"/>
          <w:szCs w:val="20"/>
        </w:rPr>
      </w:pPr>
      <w:proofErr w:type="gramStart"/>
      <w:r>
        <w:rPr>
          <w:rFonts w:cs="Arial"/>
          <w:szCs w:val="20"/>
        </w:rPr>
        <w:t>comportar</w:t>
      </w:r>
      <w:proofErr w:type="gramEnd"/>
      <w:r>
        <w:rPr>
          <w:rFonts w:cs="Arial"/>
          <w:szCs w:val="20"/>
        </w:rPr>
        <w:t>-se de modo inidôneo;</w:t>
      </w:r>
    </w:p>
    <w:p w:rsidR="00093980" w:rsidRDefault="00C13335">
      <w:pPr>
        <w:numPr>
          <w:ilvl w:val="2"/>
          <w:numId w:val="2"/>
        </w:numPr>
        <w:spacing w:before="120" w:after="120"/>
        <w:ind w:left="1134" w:firstLine="0"/>
        <w:jc w:val="both"/>
        <w:rPr>
          <w:rFonts w:cs="Arial"/>
          <w:szCs w:val="20"/>
        </w:rPr>
      </w:pPr>
      <w:proofErr w:type="gramStart"/>
      <w:r>
        <w:rPr>
          <w:rFonts w:cs="Arial"/>
          <w:szCs w:val="20"/>
        </w:rPr>
        <w:t>cometer</w:t>
      </w:r>
      <w:proofErr w:type="gramEnd"/>
      <w:r>
        <w:rPr>
          <w:rFonts w:cs="Arial"/>
          <w:szCs w:val="20"/>
        </w:rPr>
        <w:t xml:space="preserve"> fraude fiscal;</w:t>
      </w:r>
    </w:p>
    <w:p w:rsidR="00093980" w:rsidRDefault="00C13335">
      <w:pPr>
        <w:pStyle w:val="PargrafodaLista"/>
        <w:numPr>
          <w:ilvl w:val="1"/>
          <w:numId w:val="2"/>
        </w:numPr>
        <w:spacing w:before="120" w:after="120"/>
        <w:ind w:right="-30"/>
        <w:jc w:val="both"/>
        <w:rPr>
          <w:rFonts w:cs="Arial"/>
          <w:szCs w:val="20"/>
        </w:rPr>
      </w:pPr>
      <w:r>
        <w:rPr>
          <w:rFonts w:cs="Arial"/>
          <w:szCs w:val="20"/>
        </w:rPr>
        <w:t xml:space="preserve">Pela inexecução </w:t>
      </w:r>
      <w:r>
        <w:rPr>
          <w:rFonts w:cs="Arial"/>
          <w:szCs w:val="20"/>
          <w:u w:val="single"/>
        </w:rPr>
        <w:t>total ou parcial</w:t>
      </w:r>
      <w:r>
        <w:rPr>
          <w:rFonts w:cs="Arial"/>
          <w:szCs w:val="20"/>
        </w:rPr>
        <w:t xml:space="preserve"> do objeto deste contrato, a Administração pode aplicar à CONTRATADA as seguintes sanções:</w:t>
      </w:r>
    </w:p>
    <w:p w:rsidR="00093980" w:rsidRDefault="00C13335">
      <w:pPr>
        <w:numPr>
          <w:ilvl w:val="2"/>
          <w:numId w:val="2"/>
        </w:numPr>
        <w:spacing w:before="120" w:after="120"/>
        <w:ind w:left="1134" w:firstLine="0"/>
        <w:jc w:val="both"/>
        <w:rPr>
          <w:rFonts w:cs="Arial"/>
          <w:szCs w:val="20"/>
        </w:rPr>
      </w:pPr>
      <w:r>
        <w:rPr>
          <w:rFonts w:cs="Arial"/>
          <w:b/>
          <w:szCs w:val="20"/>
        </w:rPr>
        <w:t>Advertência,</w:t>
      </w:r>
      <w:proofErr w:type="gramStart"/>
      <w:r>
        <w:rPr>
          <w:rFonts w:cs="Arial"/>
          <w:szCs w:val="20"/>
        </w:rPr>
        <w:t xml:space="preserve">  </w:t>
      </w:r>
      <w:proofErr w:type="gramEnd"/>
      <w:r>
        <w:rPr>
          <w:rFonts w:cs="Arial"/>
          <w:szCs w:val="20"/>
        </w:rPr>
        <w:t>por faltas leves, assim entendidas aquelas que não acarretem prejuízos significativos para a Contratante;</w:t>
      </w:r>
    </w:p>
    <w:p w:rsidR="00093980" w:rsidRDefault="00C13335">
      <w:pPr>
        <w:numPr>
          <w:ilvl w:val="1"/>
          <w:numId w:val="2"/>
        </w:numPr>
        <w:spacing w:before="120" w:after="120"/>
        <w:ind w:left="425" w:firstLine="0"/>
        <w:jc w:val="both"/>
        <w:rPr>
          <w:rFonts w:cs="Arial"/>
          <w:szCs w:val="20"/>
        </w:rPr>
      </w:pPr>
      <w:proofErr w:type="gramStart"/>
      <w:r>
        <w:rPr>
          <w:rFonts w:cs="Arial"/>
          <w:szCs w:val="20"/>
        </w:rPr>
        <w:t>multa</w:t>
      </w:r>
      <w:proofErr w:type="gramEnd"/>
      <w:r>
        <w:rPr>
          <w:rFonts w:cs="Arial"/>
          <w:szCs w:val="20"/>
        </w:rPr>
        <w:t xml:space="preserve"> moratória de 2% (dois por cento) por dia de atraso injustificado sobre o valor da parcela inadimplida, até o limite de 10 (dez) dias;</w:t>
      </w:r>
    </w:p>
    <w:p w:rsidR="00093980" w:rsidRDefault="00C13335">
      <w:pPr>
        <w:numPr>
          <w:ilvl w:val="2"/>
          <w:numId w:val="2"/>
        </w:numPr>
        <w:spacing w:before="120" w:after="120"/>
        <w:ind w:left="1134" w:firstLine="0"/>
        <w:jc w:val="both"/>
        <w:rPr>
          <w:rFonts w:cs="Arial"/>
          <w:szCs w:val="20"/>
        </w:rPr>
      </w:pPr>
      <w:proofErr w:type="gramStart"/>
      <w:r>
        <w:rPr>
          <w:rFonts w:cs="Arial"/>
          <w:szCs w:val="20"/>
        </w:rPr>
        <w:lastRenderedPageBreak/>
        <w:t>multa</w:t>
      </w:r>
      <w:proofErr w:type="gramEnd"/>
      <w:r>
        <w:rPr>
          <w:rFonts w:cs="Arial"/>
          <w:szCs w:val="20"/>
        </w:rPr>
        <w:t xml:space="preserve"> compensatória de 2% (dois por cento) sobre o valor total do contrato, no caso de inexecução total do objeto;</w:t>
      </w:r>
    </w:p>
    <w:p w:rsidR="00093980" w:rsidRDefault="00C13335">
      <w:pPr>
        <w:numPr>
          <w:ilvl w:val="2"/>
          <w:numId w:val="2"/>
        </w:numPr>
        <w:spacing w:before="120" w:after="120"/>
        <w:ind w:left="1134" w:firstLine="0"/>
        <w:jc w:val="both"/>
        <w:rPr>
          <w:rFonts w:cs="Arial"/>
          <w:szCs w:val="20"/>
        </w:rPr>
      </w:pPr>
      <w:proofErr w:type="gramStart"/>
      <w:r>
        <w:rPr>
          <w:rFonts w:cs="Arial"/>
          <w:szCs w:val="20"/>
        </w:rPr>
        <w:t>em</w:t>
      </w:r>
      <w:proofErr w:type="gramEnd"/>
      <w:r>
        <w:rPr>
          <w:rFonts w:cs="Arial"/>
          <w:szCs w:val="20"/>
        </w:rPr>
        <w:t xml:space="preserve"> caso de inexecução parcial, a multa compensatória, no mesmo percentual do subitem acima, será aplicada de forma proporcional à obrigação inadimplida;</w:t>
      </w:r>
    </w:p>
    <w:p w:rsidR="00093980" w:rsidRDefault="00C13335">
      <w:pPr>
        <w:numPr>
          <w:ilvl w:val="2"/>
          <w:numId w:val="2"/>
        </w:numPr>
        <w:spacing w:before="120" w:after="120"/>
        <w:ind w:left="1134" w:firstLine="0"/>
        <w:jc w:val="both"/>
        <w:rPr>
          <w:rFonts w:cs="Arial"/>
          <w:b/>
          <w:i/>
          <w:color w:val="7030A0"/>
          <w:szCs w:val="20"/>
          <w:u w:val="single"/>
        </w:rPr>
      </w:pPr>
      <w:proofErr w:type="gramStart"/>
      <w:r>
        <w:rPr>
          <w:rFonts w:cs="Arial"/>
          <w:szCs w:val="20"/>
        </w:rPr>
        <w:t>suspensão</w:t>
      </w:r>
      <w:proofErr w:type="gramEnd"/>
      <w:r>
        <w:rPr>
          <w:rFonts w:cs="Arial"/>
          <w:szCs w:val="20"/>
        </w:rPr>
        <w:t xml:space="preserve"> de licitar e impedimento de contratar com o órgão, entidade ou unidade administrativa pela qual a Administração Pública opera e atua concretamente, pelo prazo de até dois anos; </w:t>
      </w:r>
    </w:p>
    <w:p w:rsidR="00093980" w:rsidRDefault="00C13335">
      <w:pPr>
        <w:numPr>
          <w:ilvl w:val="2"/>
          <w:numId w:val="2"/>
        </w:numPr>
        <w:spacing w:before="120" w:after="120"/>
        <w:ind w:left="1134" w:firstLine="0"/>
        <w:jc w:val="both"/>
        <w:rPr>
          <w:rFonts w:cs="Arial"/>
          <w:szCs w:val="20"/>
        </w:rPr>
      </w:pPr>
      <w:proofErr w:type="gramStart"/>
      <w:r>
        <w:rPr>
          <w:rFonts w:cs="Arial"/>
          <w:szCs w:val="20"/>
        </w:rPr>
        <w:t>impedimento</w:t>
      </w:r>
      <w:proofErr w:type="gramEnd"/>
      <w:r>
        <w:rPr>
          <w:rFonts w:cs="Arial"/>
          <w:szCs w:val="20"/>
        </w:rPr>
        <w:t xml:space="preserve"> de licitar e contratar com órgãos e entidades da União com o consequente descredenciamento no SICAF pelo prazo de até cinco anos;</w:t>
      </w:r>
    </w:p>
    <w:p w:rsidR="00093980" w:rsidRDefault="00C13335">
      <w:pPr>
        <w:pStyle w:val="PargrafodaLista1"/>
        <w:numPr>
          <w:ilvl w:val="3"/>
          <w:numId w:val="2"/>
        </w:numPr>
        <w:spacing w:before="120" w:after="120"/>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rsidR="00093980" w:rsidRDefault="00C13335">
      <w:pPr>
        <w:numPr>
          <w:ilvl w:val="2"/>
          <w:numId w:val="2"/>
        </w:numPr>
        <w:spacing w:before="120" w:after="120"/>
        <w:ind w:left="1134" w:firstLine="0"/>
        <w:jc w:val="both"/>
        <w:rPr>
          <w:rFonts w:cs="Arial"/>
          <w:szCs w:val="20"/>
        </w:rPr>
      </w:pPr>
      <w:proofErr w:type="gramStart"/>
      <w:r>
        <w:rPr>
          <w:rFonts w:cs="Arial"/>
          <w:szCs w:val="20"/>
        </w:rPr>
        <w:t>declaração</w:t>
      </w:r>
      <w:proofErr w:type="gramEnd"/>
      <w:r>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93980" w:rsidRDefault="00C13335">
      <w:pPr>
        <w:numPr>
          <w:ilvl w:val="1"/>
          <w:numId w:val="2"/>
        </w:numPr>
        <w:spacing w:before="120" w:after="120"/>
        <w:ind w:right="-30"/>
        <w:jc w:val="both"/>
        <w:rPr>
          <w:rFonts w:cs="Arial"/>
          <w:szCs w:val="20"/>
        </w:rPr>
      </w:pPr>
      <w:r>
        <w:rPr>
          <w:rFonts w:cs="Arial"/>
          <w:szCs w:val="20"/>
        </w:rPr>
        <w:t>As sanções previstas nos subitens 12.2.1, 12.3.3, 12.3.4 e 12.3.5 poderão ser aplicadas à CONTRATADA juntamente com as de multa, descontando-a dos pagamentos a serem efetuados.</w:t>
      </w:r>
    </w:p>
    <w:p w:rsidR="00093980" w:rsidRDefault="00C13335">
      <w:pPr>
        <w:numPr>
          <w:ilvl w:val="1"/>
          <w:numId w:val="2"/>
        </w:numPr>
        <w:spacing w:before="120" w:after="120"/>
        <w:ind w:left="425" w:firstLine="0"/>
        <w:jc w:val="both"/>
        <w:rPr>
          <w:rFonts w:cs="Arial"/>
          <w:szCs w:val="20"/>
        </w:rPr>
      </w:pPr>
      <w:r>
        <w:rPr>
          <w:rFonts w:cs="Arial"/>
          <w:szCs w:val="20"/>
        </w:rPr>
        <w:t>Também ficam sujeitas às penalidades do art. 87, III e IV da Lei nº 8.666, de 1993, as empresas ou profissionais que:</w:t>
      </w:r>
    </w:p>
    <w:p w:rsidR="00093980" w:rsidRDefault="00C13335">
      <w:pPr>
        <w:numPr>
          <w:ilvl w:val="2"/>
          <w:numId w:val="2"/>
        </w:numPr>
        <w:spacing w:before="120" w:after="120"/>
        <w:ind w:left="1134" w:firstLine="0"/>
        <w:jc w:val="both"/>
        <w:rPr>
          <w:rFonts w:cs="Arial"/>
          <w:szCs w:val="20"/>
        </w:rPr>
      </w:pPr>
      <w:proofErr w:type="gramStart"/>
      <w:r>
        <w:rPr>
          <w:rFonts w:cs="Arial"/>
          <w:szCs w:val="20"/>
        </w:rPr>
        <w:t>tenham</w:t>
      </w:r>
      <w:proofErr w:type="gramEnd"/>
      <w:r>
        <w:rPr>
          <w:rFonts w:cs="Arial"/>
          <w:szCs w:val="20"/>
        </w:rPr>
        <w:t xml:space="preserve"> sofrido condenação definitiva por praticar, por meio dolosos, fraude fiscal no recolhimento de quaisquer tributos;</w:t>
      </w:r>
    </w:p>
    <w:p w:rsidR="00093980" w:rsidRDefault="00C13335">
      <w:pPr>
        <w:numPr>
          <w:ilvl w:val="2"/>
          <w:numId w:val="2"/>
        </w:numPr>
        <w:spacing w:before="120" w:after="120"/>
        <w:ind w:left="1134" w:firstLine="0"/>
        <w:jc w:val="both"/>
        <w:rPr>
          <w:rFonts w:cs="Arial"/>
          <w:szCs w:val="20"/>
        </w:rPr>
      </w:pPr>
      <w:proofErr w:type="gramStart"/>
      <w:r>
        <w:rPr>
          <w:rFonts w:cs="Arial"/>
          <w:szCs w:val="20"/>
        </w:rPr>
        <w:t>tenham</w:t>
      </w:r>
      <w:proofErr w:type="gramEnd"/>
      <w:r>
        <w:rPr>
          <w:rFonts w:cs="Arial"/>
          <w:szCs w:val="20"/>
        </w:rPr>
        <w:t xml:space="preserve"> praticado atos ilícitos visando a frustrar os objetivos da licitação;</w:t>
      </w:r>
    </w:p>
    <w:p w:rsidR="00093980" w:rsidRDefault="00C13335">
      <w:pPr>
        <w:numPr>
          <w:ilvl w:val="2"/>
          <w:numId w:val="2"/>
        </w:numPr>
        <w:spacing w:before="240" w:after="120"/>
        <w:ind w:left="1134" w:right="-17" w:hanging="283"/>
        <w:jc w:val="both"/>
        <w:rPr>
          <w:rFonts w:cs="Arial"/>
          <w:szCs w:val="20"/>
        </w:rPr>
      </w:pPr>
      <w:proofErr w:type="gramStart"/>
      <w:r>
        <w:rPr>
          <w:rFonts w:cs="Arial"/>
          <w:szCs w:val="20"/>
        </w:rPr>
        <w:t>demonstrem</w:t>
      </w:r>
      <w:proofErr w:type="gramEnd"/>
      <w:r>
        <w:rPr>
          <w:rFonts w:cs="Arial"/>
          <w:szCs w:val="20"/>
        </w:rPr>
        <w:t xml:space="preserve"> não possuir idoneidade para contratar com a Administração em virtude de atos ilícitos praticados.</w:t>
      </w:r>
    </w:p>
    <w:p w:rsidR="00093980" w:rsidRDefault="00C13335">
      <w:pPr>
        <w:numPr>
          <w:ilvl w:val="1"/>
          <w:numId w:val="2"/>
        </w:numPr>
        <w:spacing w:before="120" w:after="120"/>
        <w:ind w:left="425" w:firstLine="0"/>
        <w:jc w:val="both"/>
        <w:rPr>
          <w:rFonts w:cs="Arial"/>
          <w:szCs w:val="20"/>
        </w:rPr>
      </w:pPr>
      <w:r>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93980" w:rsidRDefault="00C13335">
      <w:pPr>
        <w:numPr>
          <w:ilvl w:val="1"/>
          <w:numId w:val="2"/>
        </w:numPr>
        <w:spacing w:before="120" w:after="120"/>
        <w:ind w:left="425" w:firstLine="0"/>
        <w:jc w:val="both"/>
        <w:rPr>
          <w:rFonts w:cs="Arial"/>
          <w:i/>
          <w:szCs w:val="20"/>
        </w:rPr>
      </w:pPr>
      <w:r>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093980" w:rsidRDefault="00C13335">
      <w:pPr>
        <w:numPr>
          <w:ilvl w:val="1"/>
          <w:numId w:val="2"/>
        </w:numPr>
        <w:spacing w:before="120" w:after="120"/>
        <w:ind w:left="425" w:firstLine="0"/>
        <w:jc w:val="both"/>
        <w:rPr>
          <w:rFonts w:cs="Arial"/>
          <w:i/>
          <w:szCs w:val="20"/>
        </w:rPr>
      </w:pPr>
      <w:r>
        <w:rPr>
          <w:rFonts w:cs="Arial"/>
          <w:szCs w:val="20"/>
        </w:rPr>
        <w:t>As penalidades serão obrigatoriamente registradas no SICAF.</w:t>
      </w:r>
    </w:p>
    <w:p w:rsidR="00093980" w:rsidRDefault="00093980">
      <w:pPr>
        <w:pStyle w:val="Nivel1"/>
        <w:numPr>
          <w:ilvl w:val="0"/>
          <w:numId w:val="0"/>
        </w:numPr>
        <w:spacing w:before="120"/>
        <w:ind w:left="357" w:right="-30"/>
        <w:rPr>
          <w:bCs/>
        </w:rPr>
      </w:pPr>
    </w:p>
    <w:p w:rsidR="00093980" w:rsidRDefault="00C13335">
      <w:pPr>
        <w:pStyle w:val="Nivel1"/>
        <w:spacing w:before="120"/>
        <w:ind w:right="-30"/>
        <w:rPr>
          <w:bCs/>
        </w:rPr>
      </w:pPr>
      <w:r>
        <w:t>DOS RECURSOS ORÇAMENTÁRIOS.</w:t>
      </w:r>
    </w:p>
    <w:p w:rsidR="00093980" w:rsidRDefault="00C13335">
      <w:pPr>
        <w:pStyle w:val="PargrafodaLista"/>
        <w:numPr>
          <w:ilvl w:val="1"/>
          <w:numId w:val="2"/>
        </w:numPr>
        <w:spacing w:before="120" w:after="120"/>
        <w:ind w:right="-30"/>
        <w:jc w:val="both"/>
        <w:rPr>
          <w:b/>
          <w:bCs/>
          <w:color w:val="000000" w:themeColor="text1"/>
          <w:szCs w:val="20"/>
        </w:rPr>
      </w:pPr>
      <w:r>
        <w:rPr>
          <w:color w:val="000000" w:themeColor="text1"/>
          <w:szCs w:val="20"/>
        </w:rPr>
        <w:t xml:space="preserve">(Indicar a </w:t>
      </w:r>
      <w:r>
        <w:rPr>
          <w:bCs/>
          <w:color w:val="000000" w:themeColor="text1"/>
          <w:szCs w:val="20"/>
        </w:rPr>
        <w:t>dotação</w:t>
      </w:r>
      <w:r>
        <w:rPr>
          <w:color w:val="000000" w:themeColor="text1"/>
          <w:szCs w:val="20"/>
        </w:rPr>
        <w:t xml:space="preserve"> orçamentária da contratação, exceto se for SRP.</w:t>
      </w:r>
      <w:proofErr w:type="gramStart"/>
      <w:r>
        <w:rPr>
          <w:color w:val="000000" w:themeColor="text1"/>
          <w:szCs w:val="20"/>
        </w:rPr>
        <w:t>)</w:t>
      </w:r>
      <w:proofErr w:type="gramEnd"/>
    </w:p>
    <w:p w:rsidR="00093980" w:rsidRDefault="00093980">
      <w:pPr>
        <w:spacing w:before="120" w:after="120"/>
        <w:ind w:left="425"/>
        <w:jc w:val="both"/>
        <w:rPr>
          <w:rFonts w:cs="Arial"/>
          <w:i/>
          <w:szCs w:val="20"/>
        </w:rPr>
      </w:pPr>
    </w:p>
    <w:p w:rsidR="00093980" w:rsidRDefault="00C13335">
      <w:pPr>
        <w:spacing w:before="100" w:beforeAutospacing="1"/>
        <w:jc w:val="right"/>
        <w:rPr>
          <w:rFonts w:ascii="Times New Roman" w:hAnsi="Times New Roman" w:cs="Times New Roman"/>
          <w:color w:val="00000A"/>
          <w:sz w:val="22"/>
          <w:szCs w:val="22"/>
        </w:rPr>
      </w:pPr>
      <w:r>
        <w:rPr>
          <w:rFonts w:ascii="Times New Roman" w:hAnsi="Times New Roman" w:cs="Times New Roman"/>
          <w:color w:val="00000A"/>
          <w:sz w:val="22"/>
          <w:szCs w:val="22"/>
        </w:rPr>
        <w:t>Confresa – MT, 17 de Maio</w:t>
      </w:r>
      <w:proofErr w:type="gramStart"/>
      <w:r>
        <w:rPr>
          <w:rFonts w:ascii="Times New Roman" w:hAnsi="Times New Roman" w:cs="Times New Roman"/>
          <w:color w:val="00000A"/>
          <w:sz w:val="22"/>
          <w:szCs w:val="22"/>
        </w:rPr>
        <w:t xml:space="preserve">  </w:t>
      </w:r>
      <w:proofErr w:type="gramEnd"/>
      <w:r>
        <w:rPr>
          <w:rFonts w:ascii="Times New Roman" w:hAnsi="Times New Roman" w:cs="Times New Roman"/>
          <w:color w:val="00000A"/>
          <w:sz w:val="22"/>
          <w:szCs w:val="22"/>
        </w:rPr>
        <w:t>de 2019</w:t>
      </w:r>
    </w:p>
    <w:p w:rsidR="001D0C3A" w:rsidRDefault="001D0C3A">
      <w:pPr>
        <w:spacing w:before="100" w:beforeAutospacing="1"/>
        <w:rPr>
          <w:rFonts w:ascii="Times New Roman" w:hAnsi="Times New Roman" w:cs="Times New Roman"/>
          <w:color w:val="00000A"/>
          <w:sz w:val="22"/>
          <w:szCs w:val="22"/>
        </w:rPr>
      </w:pPr>
    </w:p>
    <w:p w:rsidR="001D0C3A" w:rsidRDefault="001D0C3A">
      <w:pPr>
        <w:spacing w:before="100" w:beforeAutospacing="1"/>
        <w:rPr>
          <w:rFonts w:ascii="Times New Roman" w:hAnsi="Times New Roman" w:cs="Times New Roman"/>
          <w:color w:val="00000A"/>
          <w:sz w:val="22"/>
          <w:szCs w:val="22"/>
        </w:rPr>
      </w:pPr>
    </w:p>
    <w:p w:rsidR="00093980" w:rsidRDefault="00C13335">
      <w:pPr>
        <w:spacing w:before="100" w:beforeAutospacing="1"/>
        <w:rPr>
          <w:rFonts w:ascii="Times New Roman" w:hAnsi="Times New Roman" w:cs="Times New Roman"/>
          <w:color w:val="00000A"/>
          <w:sz w:val="22"/>
          <w:szCs w:val="22"/>
        </w:rPr>
      </w:pPr>
      <w:r>
        <w:rPr>
          <w:rFonts w:ascii="Times New Roman" w:hAnsi="Times New Roman" w:cs="Times New Roman"/>
          <w:color w:val="00000A"/>
          <w:sz w:val="22"/>
          <w:szCs w:val="22"/>
        </w:rPr>
        <w:t>Revisado por:</w:t>
      </w:r>
    </w:p>
    <w:p w:rsidR="00C91B01" w:rsidRDefault="00C91B01">
      <w:pPr>
        <w:spacing w:before="100" w:beforeAutospacing="1"/>
        <w:contextualSpacing/>
        <w:jc w:val="center"/>
        <w:rPr>
          <w:rFonts w:ascii="Times New Roman" w:hAnsi="Times New Roman" w:cs="Times New Roman"/>
          <w:b/>
          <w:color w:val="00000A"/>
          <w:sz w:val="22"/>
          <w:szCs w:val="22"/>
        </w:rPr>
      </w:pPr>
    </w:p>
    <w:p w:rsidR="00C91B01" w:rsidRDefault="00C91B01">
      <w:pPr>
        <w:spacing w:before="100" w:beforeAutospacing="1"/>
        <w:contextualSpacing/>
        <w:jc w:val="center"/>
        <w:rPr>
          <w:rFonts w:ascii="Times New Roman" w:hAnsi="Times New Roman" w:cs="Times New Roman"/>
          <w:b/>
          <w:color w:val="00000A"/>
          <w:sz w:val="22"/>
          <w:szCs w:val="22"/>
        </w:rPr>
      </w:pPr>
    </w:p>
    <w:p w:rsidR="00C91B01" w:rsidRDefault="00C91B01">
      <w:pPr>
        <w:spacing w:before="100" w:beforeAutospacing="1"/>
        <w:contextualSpacing/>
        <w:jc w:val="center"/>
        <w:rPr>
          <w:rFonts w:ascii="Times New Roman" w:hAnsi="Times New Roman" w:cs="Times New Roman"/>
          <w:b/>
          <w:color w:val="00000A"/>
          <w:sz w:val="22"/>
          <w:szCs w:val="22"/>
        </w:rPr>
      </w:pPr>
    </w:p>
    <w:p w:rsidR="00C91B01" w:rsidRDefault="00C91B01">
      <w:pPr>
        <w:spacing w:before="100" w:beforeAutospacing="1"/>
        <w:contextualSpacing/>
        <w:jc w:val="center"/>
        <w:rPr>
          <w:rFonts w:ascii="Times New Roman" w:hAnsi="Times New Roman" w:cs="Times New Roman"/>
          <w:b/>
          <w:color w:val="00000A"/>
          <w:sz w:val="22"/>
          <w:szCs w:val="22"/>
        </w:rPr>
      </w:pPr>
    </w:p>
    <w:p w:rsidR="00093980" w:rsidRDefault="00C13335">
      <w:pPr>
        <w:spacing w:before="100" w:beforeAutospacing="1"/>
        <w:contextualSpacing/>
        <w:jc w:val="center"/>
        <w:rPr>
          <w:rFonts w:ascii="Times New Roman" w:hAnsi="Times New Roman" w:cs="Times New Roman"/>
          <w:b/>
          <w:color w:val="00000A"/>
          <w:sz w:val="22"/>
          <w:szCs w:val="22"/>
        </w:rPr>
      </w:pPr>
      <w:r>
        <w:rPr>
          <w:rFonts w:ascii="Times New Roman" w:hAnsi="Times New Roman" w:cs="Times New Roman"/>
          <w:b/>
          <w:color w:val="00000A"/>
          <w:sz w:val="22"/>
          <w:szCs w:val="22"/>
        </w:rPr>
        <w:t>Enaldo Soares Cabral</w:t>
      </w:r>
    </w:p>
    <w:p w:rsidR="00093980" w:rsidRDefault="00C13335">
      <w:pPr>
        <w:spacing w:before="100" w:beforeAutospacing="1"/>
        <w:contextualSpacing/>
        <w:jc w:val="center"/>
        <w:rPr>
          <w:rFonts w:ascii="Times New Roman" w:hAnsi="Times New Roman" w:cs="Times New Roman"/>
          <w:b/>
          <w:color w:val="00000A"/>
          <w:sz w:val="22"/>
          <w:szCs w:val="22"/>
        </w:rPr>
      </w:pPr>
      <w:r>
        <w:rPr>
          <w:rFonts w:ascii="Times New Roman" w:hAnsi="Times New Roman" w:cs="Times New Roman"/>
          <w:b/>
          <w:color w:val="00000A"/>
          <w:sz w:val="22"/>
          <w:szCs w:val="22"/>
        </w:rPr>
        <w:t>Responsável Refeitório</w:t>
      </w:r>
    </w:p>
    <w:p w:rsidR="00093980" w:rsidRDefault="00C13335">
      <w:pPr>
        <w:spacing w:before="100" w:beforeAutospacing="1"/>
        <w:contextualSpacing/>
        <w:jc w:val="center"/>
        <w:rPr>
          <w:rFonts w:ascii="Times New Roman" w:hAnsi="Times New Roman" w:cs="Times New Roman"/>
          <w:b/>
          <w:color w:val="00000A"/>
          <w:sz w:val="22"/>
          <w:szCs w:val="22"/>
        </w:rPr>
      </w:pPr>
      <w:r>
        <w:rPr>
          <w:rFonts w:ascii="Times New Roman" w:hAnsi="Times New Roman" w:cs="Times New Roman"/>
          <w:b/>
          <w:color w:val="00000A"/>
          <w:sz w:val="22"/>
          <w:szCs w:val="22"/>
        </w:rPr>
        <w:t>IFMT Campus Confresa</w:t>
      </w:r>
    </w:p>
    <w:p w:rsidR="00093980" w:rsidRDefault="00C13335">
      <w:pPr>
        <w:spacing w:before="100" w:beforeAutospacing="1"/>
        <w:contextualSpacing/>
        <w:jc w:val="center"/>
        <w:rPr>
          <w:rFonts w:ascii="Times New Roman" w:hAnsi="Times New Roman" w:cs="Times New Roman"/>
          <w:b/>
          <w:color w:val="00000A"/>
          <w:sz w:val="22"/>
          <w:szCs w:val="22"/>
        </w:rPr>
      </w:pPr>
      <w:r>
        <w:rPr>
          <w:rFonts w:ascii="Times New Roman" w:hAnsi="Times New Roman" w:cs="Times New Roman"/>
          <w:b/>
          <w:color w:val="00000A"/>
          <w:sz w:val="24"/>
        </w:rPr>
        <w:t xml:space="preserve">SIAPE: </w:t>
      </w:r>
    </w:p>
    <w:p w:rsidR="00093980" w:rsidRDefault="00093980">
      <w:pPr>
        <w:autoSpaceDE w:val="0"/>
        <w:spacing w:after="120"/>
        <w:jc w:val="both"/>
        <w:rPr>
          <w:rFonts w:ascii="Times New Roman" w:hAnsi="Times New Roman" w:cs="Times New Roman"/>
          <w:color w:val="000000" w:themeColor="text1"/>
          <w:sz w:val="22"/>
          <w:szCs w:val="20"/>
        </w:rPr>
      </w:pPr>
    </w:p>
    <w:p w:rsidR="00093980" w:rsidRDefault="00093980">
      <w:pPr>
        <w:autoSpaceDE w:val="0"/>
        <w:spacing w:after="120"/>
        <w:jc w:val="both"/>
        <w:rPr>
          <w:rFonts w:ascii="Times New Roman" w:hAnsi="Times New Roman" w:cs="Times New Roman"/>
          <w:color w:val="000000" w:themeColor="text1"/>
          <w:sz w:val="22"/>
          <w:szCs w:val="20"/>
        </w:rPr>
      </w:pPr>
    </w:p>
    <w:p w:rsidR="00093980" w:rsidRDefault="00C13335">
      <w:pPr>
        <w:autoSpaceDE w:val="0"/>
        <w:spacing w:after="120"/>
        <w:jc w:val="both"/>
        <w:rPr>
          <w:rFonts w:ascii="Times New Roman" w:hAnsi="Times New Roman" w:cs="Times New Roman"/>
          <w:color w:val="000000" w:themeColor="text1"/>
          <w:sz w:val="22"/>
          <w:szCs w:val="20"/>
        </w:rPr>
      </w:pPr>
      <w:r>
        <w:rPr>
          <w:rFonts w:ascii="Times New Roman" w:hAnsi="Times New Roman" w:cs="Times New Roman"/>
          <w:color w:val="000000" w:themeColor="text1"/>
          <w:sz w:val="22"/>
          <w:szCs w:val="20"/>
        </w:rPr>
        <w:t>Aprovo:</w:t>
      </w:r>
    </w:p>
    <w:p w:rsidR="001D0C3A" w:rsidRDefault="001D0C3A">
      <w:pPr>
        <w:autoSpaceDE w:val="0"/>
        <w:spacing w:after="120"/>
        <w:contextualSpacing/>
        <w:jc w:val="center"/>
        <w:rPr>
          <w:rFonts w:ascii="Times New Roman" w:hAnsi="Times New Roman" w:cs="Times New Roman"/>
          <w:b/>
          <w:color w:val="000000" w:themeColor="text1"/>
          <w:sz w:val="22"/>
          <w:szCs w:val="20"/>
        </w:rPr>
      </w:pPr>
    </w:p>
    <w:p w:rsidR="001D0C3A" w:rsidRDefault="001D0C3A">
      <w:pPr>
        <w:autoSpaceDE w:val="0"/>
        <w:spacing w:after="120"/>
        <w:contextualSpacing/>
        <w:jc w:val="center"/>
        <w:rPr>
          <w:rFonts w:ascii="Times New Roman" w:hAnsi="Times New Roman" w:cs="Times New Roman"/>
          <w:b/>
          <w:color w:val="000000" w:themeColor="text1"/>
          <w:sz w:val="22"/>
          <w:szCs w:val="20"/>
        </w:rPr>
      </w:pPr>
    </w:p>
    <w:p w:rsidR="001D0C3A" w:rsidRDefault="001D0C3A">
      <w:pPr>
        <w:autoSpaceDE w:val="0"/>
        <w:spacing w:after="120"/>
        <w:contextualSpacing/>
        <w:jc w:val="center"/>
        <w:rPr>
          <w:rFonts w:ascii="Times New Roman" w:hAnsi="Times New Roman" w:cs="Times New Roman"/>
          <w:b/>
          <w:color w:val="000000" w:themeColor="text1"/>
          <w:sz w:val="22"/>
          <w:szCs w:val="20"/>
        </w:rPr>
      </w:pPr>
    </w:p>
    <w:p w:rsidR="00093980" w:rsidRDefault="00C13335">
      <w:pPr>
        <w:autoSpaceDE w:val="0"/>
        <w:spacing w:after="120"/>
        <w:contextualSpacing/>
        <w:jc w:val="center"/>
        <w:rPr>
          <w:rFonts w:ascii="Times New Roman" w:hAnsi="Times New Roman" w:cs="Times New Roman"/>
          <w:b/>
          <w:color w:val="000000" w:themeColor="text1"/>
          <w:sz w:val="22"/>
          <w:szCs w:val="20"/>
        </w:rPr>
      </w:pPr>
      <w:bookmarkStart w:id="0" w:name="_GoBack"/>
      <w:bookmarkEnd w:id="0"/>
      <w:r>
        <w:rPr>
          <w:rFonts w:ascii="Times New Roman" w:hAnsi="Times New Roman" w:cs="Times New Roman"/>
          <w:b/>
          <w:color w:val="000000" w:themeColor="text1"/>
          <w:sz w:val="22"/>
          <w:szCs w:val="20"/>
        </w:rPr>
        <w:t>Edna Lucia Sousa Cruz</w:t>
      </w:r>
    </w:p>
    <w:p w:rsidR="00093980" w:rsidRDefault="00C13335">
      <w:pPr>
        <w:autoSpaceDE w:val="0"/>
        <w:spacing w:after="120"/>
        <w:contextualSpacing/>
        <w:jc w:val="center"/>
        <w:rPr>
          <w:rFonts w:ascii="Times New Roman" w:hAnsi="Times New Roman" w:cs="Times New Roman"/>
          <w:b/>
          <w:color w:val="000000" w:themeColor="text1"/>
          <w:sz w:val="22"/>
          <w:szCs w:val="20"/>
        </w:rPr>
      </w:pPr>
      <w:r>
        <w:rPr>
          <w:rFonts w:ascii="Times New Roman" w:hAnsi="Times New Roman" w:cs="Times New Roman"/>
          <w:b/>
          <w:color w:val="000000" w:themeColor="text1"/>
          <w:sz w:val="22"/>
          <w:szCs w:val="20"/>
        </w:rPr>
        <w:t>Diretora de Administração e Planejamento</w:t>
      </w:r>
    </w:p>
    <w:p w:rsidR="00093980" w:rsidRDefault="00C13335">
      <w:pPr>
        <w:autoSpaceDE w:val="0"/>
        <w:spacing w:after="120"/>
        <w:contextualSpacing/>
        <w:jc w:val="center"/>
        <w:rPr>
          <w:rFonts w:ascii="Times New Roman" w:hAnsi="Times New Roman" w:cs="Times New Roman"/>
          <w:b/>
          <w:color w:val="000000" w:themeColor="text1"/>
          <w:sz w:val="22"/>
          <w:szCs w:val="20"/>
        </w:rPr>
      </w:pPr>
      <w:r>
        <w:rPr>
          <w:rFonts w:ascii="Times New Roman" w:hAnsi="Times New Roman" w:cs="Times New Roman"/>
          <w:b/>
          <w:color w:val="000000" w:themeColor="text1"/>
          <w:sz w:val="22"/>
          <w:szCs w:val="20"/>
        </w:rPr>
        <w:t>IFMT Campus Confresa</w:t>
      </w:r>
    </w:p>
    <w:p w:rsidR="00093980" w:rsidRDefault="00C13335">
      <w:pPr>
        <w:keepNext/>
        <w:pBdr>
          <w:top w:val="single" w:sz="6" w:space="1" w:color="000001"/>
          <w:left w:val="single" w:sz="6" w:space="4" w:color="000001"/>
          <w:bottom w:val="single" w:sz="6" w:space="1" w:color="000001"/>
          <w:right w:val="single" w:sz="6" w:space="4" w:color="000001"/>
        </w:pBdr>
        <w:spacing w:before="100" w:beforeAutospacing="1"/>
        <w:jc w:val="both"/>
        <w:rPr>
          <w:rFonts w:ascii="Times New Roman" w:hAnsi="Times New Roman" w:cs="Times New Roman"/>
          <w:color w:val="00000A"/>
          <w:sz w:val="24"/>
        </w:rPr>
      </w:pPr>
      <w:r>
        <w:rPr>
          <w:rFonts w:ascii="Times New Roman" w:hAnsi="Times New Roman" w:cs="Times New Roman"/>
          <w:color w:val="00000A"/>
          <w:sz w:val="22"/>
          <w:szCs w:val="22"/>
        </w:rPr>
        <w:t xml:space="preserve">Autorizo a contratação dos itens requisitados neste processo, por meio de pregão eletrônico - SRP, dada a necessidade dos materiais, conforme justificativas apresentadas no presente Termo, </w:t>
      </w:r>
      <w:proofErr w:type="gramStart"/>
      <w:r>
        <w:rPr>
          <w:rFonts w:ascii="Times New Roman" w:hAnsi="Times New Roman" w:cs="Times New Roman"/>
          <w:color w:val="00000A"/>
          <w:sz w:val="22"/>
          <w:szCs w:val="22"/>
        </w:rPr>
        <w:t>a</w:t>
      </w:r>
      <w:proofErr w:type="gramEnd"/>
      <w:r>
        <w:rPr>
          <w:rFonts w:ascii="Times New Roman" w:hAnsi="Times New Roman" w:cs="Times New Roman"/>
          <w:color w:val="00000A"/>
          <w:sz w:val="22"/>
          <w:szCs w:val="22"/>
        </w:rPr>
        <w:t xml:space="preserve"> legalidade do processo, bem como por ter cumprido os princípios da administração pública.</w:t>
      </w:r>
    </w:p>
    <w:p w:rsidR="00093980" w:rsidRDefault="00C13335">
      <w:pPr>
        <w:keepNext/>
        <w:pBdr>
          <w:top w:val="single" w:sz="6" w:space="1" w:color="000001"/>
          <w:left w:val="single" w:sz="6" w:space="4" w:color="000001"/>
          <w:bottom w:val="single" w:sz="6" w:space="1" w:color="000001"/>
          <w:right w:val="single" w:sz="6" w:space="4" w:color="000001"/>
        </w:pBdr>
        <w:spacing w:before="100" w:beforeAutospacing="1"/>
        <w:jc w:val="right"/>
        <w:rPr>
          <w:rFonts w:ascii="Times New Roman" w:hAnsi="Times New Roman" w:cs="Times New Roman"/>
          <w:color w:val="00000A"/>
          <w:sz w:val="24"/>
        </w:rPr>
      </w:pPr>
      <w:r>
        <w:rPr>
          <w:rFonts w:ascii="Times New Roman" w:hAnsi="Times New Roman" w:cs="Times New Roman"/>
          <w:color w:val="00000A"/>
          <w:sz w:val="22"/>
          <w:szCs w:val="22"/>
        </w:rPr>
        <w:t>Confresa – MT, 17 de Maio de 2019.</w:t>
      </w:r>
    </w:p>
    <w:p w:rsidR="00093980" w:rsidRDefault="00093980">
      <w:pPr>
        <w:pBdr>
          <w:top w:val="single" w:sz="6" w:space="1" w:color="000001"/>
          <w:left w:val="single" w:sz="6" w:space="4" w:color="000001"/>
          <w:bottom w:val="single" w:sz="6" w:space="1" w:color="000001"/>
          <w:right w:val="single" w:sz="6" w:space="4" w:color="000001"/>
        </w:pBdr>
        <w:spacing w:before="100" w:beforeAutospacing="1"/>
        <w:rPr>
          <w:rFonts w:ascii="Times New Roman" w:hAnsi="Times New Roman" w:cs="Times New Roman"/>
          <w:color w:val="00000A"/>
          <w:sz w:val="24"/>
        </w:rPr>
      </w:pPr>
    </w:p>
    <w:p w:rsidR="00093980" w:rsidRDefault="00093980">
      <w:pPr>
        <w:pBdr>
          <w:top w:val="single" w:sz="6" w:space="1" w:color="000001"/>
          <w:left w:val="single" w:sz="6" w:space="4" w:color="000001"/>
          <w:bottom w:val="single" w:sz="6" w:space="1" w:color="000001"/>
          <w:right w:val="single" w:sz="6" w:space="4" w:color="000001"/>
        </w:pBdr>
        <w:spacing w:before="100" w:beforeAutospacing="1"/>
        <w:rPr>
          <w:rFonts w:ascii="Times New Roman" w:hAnsi="Times New Roman" w:cs="Times New Roman"/>
          <w:color w:val="00000A"/>
          <w:sz w:val="24"/>
        </w:rPr>
      </w:pPr>
    </w:p>
    <w:p w:rsidR="00093980" w:rsidRDefault="00C13335">
      <w:pPr>
        <w:pBdr>
          <w:top w:val="single" w:sz="6" w:space="1" w:color="000001"/>
          <w:left w:val="single" w:sz="6" w:space="4" w:color="000001"/>
          <w:bottom w:val="single" w:sz="6" w:space="1" w:color="000001"/>
          <w:right w:val="single" w:sz="6" w:space="4" w:color="000001"/>
        </w:pBdr>
        <w:spacing w:before="100" w:beforeAutospacing="1"/>
        <w:jc w:val="center"/>
        <w:rPr>
          <w:rFonts w:ascii="Times New Roman" w:hAnsi="Times New Roman" w:cs="Times New Roman"/>
          <w:color w:val="00000A"/>
          <w:sz w:val="24"/>
        </w:rPr>
      </w:pPr>
      <w:r>
        <w:rPr>
          <w:rFonts w:ascii="Times New Roman" w:hAnsi="Times New Roman" w:cs="Times New Roman"/>
          <w:b/>
          <w:bCs/>
          <w:color w:val="00000A"/>
          <w:sz w:val="22"/>
          <w:szCs w:val="22"/>
        </w:rPr>
        <w:t>GILIARD BRITO DE FREITAS</w:t>
      </w:r>
    </w:p>
    <w:p w:rsidR="00093980" w:rsidRDefault="00C13335">
      <w:pPr>
        <w:keepNext/>
        <w:pBdr>
          <w:top w:val="single" w:sz="6" w:space="1" w:color="000001"/>
          <w:left w:val="single" w:sz="6" w:space="4" w:color="000001"/>
          <w:bottom w:val="single" w:sz="6" w:space="1" w:color="000001"/>
          <w:right w:val="single" w:sz="6" w:space="4" w:color="000001"/>
        </w:pBdr>
        <w:spacing w:before="100" w:beforeAutospacing="1"/>
        <w:jc w:val="center"/>
        <w:rPr>
          <w:rFonts w:ascii="Times New Roman" w:hAnsi="Times New Roman" w:cs="Times New Roman"/>
          <w:color w:val="00000A"/>
          <w:sz w:val="24"/>
        </w:rPr>
      </w:pPr>
      <w:r>
        <w:rPr>
          <w:rFonts w:ascii="Times New Roman" w:hAnsi="Times New Roman" w:cs="Times New Roman"/>
          <w:color w:val="00000A"/>
          <w:sz w:val="22"/>
          <w:szCs w:val="22"/>
        </w:rPr>
        <w:t>Diretor Geral do Campus Confresa</w:t>
      </w:r>
    </w:p>
    <w:p w:rsidR="00093980" w:rsidRDefault="00C13335">
      <w:pPr>
        <w:keepNext/>
        <w:pBdr>
          <w:top w:val="single" w:sz="6" w:space="1" w:color="000001"/>
          <w:left w:val="single" w:sz="6" w:space="4" w:color="000001"/>
          <w:bottom w:val="single" w:sz="6" w:space="1" w:color="000001"/>
          <w:right w:val="single" w:sz="6" w:space="4" w:color="000001"/>
        </w:pBdr>
        <w:spacing w:before="100" w:beforeAutospacing="1"/>
        <w:jc w:val="center"/>
        <w:rPr>
          <w:rFonts w:ascii="Times New Roman" w:hAnsi="Times New Roman" w:cs="Times New Roman"/>
          <w:color w:val="00000A"/>
          <w:sz w:val="24"/>
        </w:rPr>
      </w:pPr>
      <w:r>
        <w:rPr>
          <w:rFonts w:ascii="Times New Roman" w:hAnsi="Times New Roman" w:cs="Times New Roman"/>
          <w:color w:val="00000A"/>
          <w:sz w:val="22"/>
          <w:szCs w:val="22"/>
        </w:rPr>
        <w:t>Ordenador de Despesas</w:t>
      </w:r>
    </w:p>
    <w:p w:rsidR="00093980" w:rsidRDefault="00093980">
      <w:pPr>
        <w:rPr>
          <w:rFonts w:cs="Arial"/>
          <w:szCs w:val="20"/>
        </w:rPr>
      </w:pPr>
    </w:p>
    <w:p w:rsidR="00093980" w:rsidRDefault="00093980">
      <w:pPr>
        <w:rPr>
          <w:rFonts w:cs="Arial"/>
          <w:szCs w:val="20"/>
        </w:rPr>
      </w:pPr>
    </w:p>
    <w:sectPr w:rsidR="00093980">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CF8" w:rsidRDefault="00790CF8">
      <w:pPr>
        <w:spacing w:after="0" w:line="240" w:lineRule="auto"/>
      </w:pPr>
      <w:r>
        <w:separator/>
      </w:r>
    </w:p>
  </w:endnote>
  <w:endnote w:type="continuationSeparator" w:id="0">
    <w:p w:rsidR="00790CF8" w:rsidRDefault="00790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80" w:rsidRDefault="00C13335">
    <w:pPr>
      <w:pStyle w:val="Rodap"/>
      <w:rPr>
        <w:rFonts w:ascii="Times New Roman" w:hAnsi="Times New Roman" w:cs="Times New Roman"/>
      </w:rPr>
    </w:pPr>
    <w:r>
      <w:rPr>
        <w:rFonts w:ascii="Times New Roman" w:hAnsi="Times New Roman" w:cs="Times New Roman"/>
      </w:rPr>
      <w:t>____________________________________________________________________</w:t>
    </w:r>
  </w:p>
  <w:p w:rsidR="00093980" w:rsidRDefault="00C13335">
    <w:pPr>
      <w:pStyle w:val="Rodap"/>
      <w:rPr>
        <w:rFonts w:cs="Arial"/>
        <w:sz w:val="12"/>
        <w:szCs w:val="12"/>
      </w:rPr>
    </w:pPr>
    <w:r>
      <w:rPr>
        <w:rFonts w:cs="Arial"/>
        <w:sz w:val="12"/>
        <w:szCs w:val="12"/>
      </w:rPr>
      <w:t>Comissão Permanente de Modelos de Licitações e Contratos da Consultoria-Geral da União</w:t>
    </w:r>
  </w:p>
  <w:p w:rsidR="00093980" w:rsidRDefault="00C13335">
    <w:pPr>
      <w:pStyle w:val="Rodap"/>
      <w:rPr>
        <w:rFonts w:cs="Arial"/>
        <w:sz w:val="12"/>
        <w:szCs w:val="12"/>
      </w:rPr>
    </w:pPr>
    <w:r>
      <w:rPr>
        <w:rFonts w:cs="Arial"/>
        <w:sz w:val="12"/>
        <w:szCs w:val="12"/>
      </w:rPr>
      <w:t>Termo de Referência - Modelo para Pregão Eletrônico – Compras</w:t>
    </w:r>
  </w:p>
  <w:p w:rsidR="00093980" w:rsidRDefault="00C13335">
    <w:pPr>
      <w:pStyle w:val="Rodap"/>
      <w:rPr>
        <w:rFonts w:cs="Arial"/>
      </w:rPr>
    </w:pPr>
    <w:r>
      <w:rPr>
        <w:rFonts w:cs="Arial"/>
        <w:sz w:val="12"/>
        <w:szCs w:val="12"/>
      </w:rPr>
      <w:t>Atualização: Dezembro/2018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CF8" w:rsidRDefault="00790CF8">
      <w:pPr>
        <w:spacing w:after="0" w:line="240" w:lineRule="auto"/>
      </w:pPr>
      <w:r>
        <w:separator/>
      </w:r>
    </w:p>
  </w:footnote>
  <w:footnote w:type="continuationSeparator" w:id="0">
    <w:p w:rsidR="00790CF8" w:rsidRDefault="00790C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Commarcadores5"/>
      <w:lvlText w:val=""/>
      <w:lvlJc w:val="left"/>
      <w:pPr>
        <w:tabs>
          <w:tab w:val="left" w:pos="1492"/>
        </w:tabs>
        <w:ind w:left="1492" w:hanging="360"/>
      </w:pPr>
      <w:rPr>
        <w:rFonts w:ascii="Symbol" w:hAnsi="Symbol" w:hint="default"/>
      </w:rPr>
    </w:lvl>
  </w:abstractNum>
  <w:abstractNum w:abstractNumId="1">
    <w:nsid w:val="1D5C100D"/>
    <w:multiLevelType w:val="multilevel"/>
    <w:tmpl w:val="1D5C100D"/>
    <w:lvl w:ilvl="0">
      <w:start w:val="1"/>
      <w:numFmt w:val="decimal"/>
      <w:pStyle w:val="Nivel1"/>
      <w:lvlText w:val="%1."/>
      <w:lvlJc w:val="left"/>
      <w:pPr>
        <w:ind w:left="360" w:hanging="360"/>
      </w:pPr>
      <w:rPr>
        <w:b/>
      </w:rPr>
    </w:lvl>
    <w:lvl w:ilvl="1">
      <w:start w:val="1"/>
      <w:numFmt w:val="decimal"/>
      <w:lvlText w:val="%1.%2."/>
      <w:lvlJc w:val="left"/>
      <w:pPr>
        <w:ind w:left="716" w:hanging="432"/>
      </w:pPr>
      <w:rPr>
        <w:b w:val="0"/>
        <w:i w:val="0"/>
        <w: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2"/>
    </w:lvlOverride>
    <w:lvlOverride w:ilvl="1">
      <w:startOverride w:val="2"/>
    </w:lvlOverride>
  </w:num>
  <w:num w:numId="5">
    <w:abstractNumId w:val="1"/>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135C0"/>
    <w:rsid w:val="0001661B"/>
    <w:rsid w:val="0002260C"/>
    <w:rsid w:val="0002306D"/>
    <w:rsid w:val="000242C8"/>
    <w:rsid w:val="00027155"/>
    <w:rsid w:val="000318BA"/>
    <w:rsid w:val="00034A29"/>
    <w:rsid w:val="00040957"/>
    <w:rsid w:val="00045830"/>
    <w:rsid w:val="00047D73"/>
    <w:rsid w:val="000528E5"/>
    <w:rsid w:val="00056433"/>
    <w:rsid w:val="00060414"/>
    <w:rsid w:val="00062853"/>
    <w:rsid w:val="00062C9B"/>
    <w:rsid w:val="00063CC2"/>
    <w:rsid w:val="0006537A"/>
    <w:rsid w:val="000670EC"/>
    <w:rsid w:val="000677A2"/>
    <w:rsid w:val="00070EA5"/>
    <w:rsid w:val="00073282"/>
    <w:rsid w:val="00076CBC"/>
    <w:rsid w:val="000779C7"/>
    <w:rsid w:val="00081098"/>
    <w:rsid w:val="00087EF2"/>
    <w:rsid w:val="00090F5D"/>
    <w:rsid w:val="00092759"/>
    <w:rsid w:val="000932BB"/>
    <w:rsid w:val="00093980"/>
    <w:rsid w:val="00093CC3"/>
    <w:rsid w:val="00094321"/>
    <w:rsid w:val="00097CC0"/>
    <w:rsid w:val="000A038D"/>
    <w:rsid w:val="000A102A"/>
    <w:rsid w:val="000A1A7B"/>
    <w:rsid w:val="000A1B88"/>
    <w:rsid w:val="000A23DA"/>
    <w:rsid w:val="000A674F"/>
    <w:rsid w:val="000B1AC5"/>
    <w:rsid w:val="000B63B7"/>
    <w:rsid w:val="000B7B55"/>
    <w:rsid w:val="000C123B"/>
    <w:rsid w:val="000C21AD"/>
    <w:rsid w:val="000C2C16"/>
    <w:rsid w:val="000C5EE4"/>
    <w:rsid w:val="000C670A"/>
    <w:rsid w:val="000D2A1E"/>
    <w:rsid w:val="000D2AC3"/>
    <w:rsid w:val="000D418A"/>
    <w:rsid w:val="000F1C1C"/>
    <w:rsid w:val="000F2D08"/>
    <w:rsid w:val="000F4088"/>
    <w:rsid w:val="000F4F96"/>
    <w:rsid w:val="000F5A07"/>
    <w:rsid w:val="00100990"/>
    <w:rsid w:val="00105707"/>
    <w:rsid w:val="001060BC"/>
    <w:rsid w:val="001103FF"/>
    <w:rsid w:val="00110F04"/>
    <w:rsid w:val="00113EEB"/>
    <w:rsid w:val="0012163E"/>
    <w:rsid w:val="001219B0"/>
    <w:rsid w:val="00122572"/>
    <w:rsid w:val="00123B54"/>
    <w:rsid w:val="00124990"/>
    <w:rsid w:val="00124BB7"/>
    <w:rsid w:val="00124FA4"/>
    <w:rsid w:val="001304C0"/>
    <w:rsid w:val="001315F2"/>
    <w:rsid w:val="0014004B"/>
    <w:rsid w:val="0014325E"/>
    <w:rsid w:val="00146BDF"/>
    <w:rsid w:val="001516EA"/>
    <w:rsid w:val="00153E25"/>
    <w:rsid w:val="00154505"/>
    <w:rsid w:val="0015684D"/>
    <w:rsid w:val="00160BBD"/>
    <w:rsid w:val="00160DA4"/>
    <w:rsid w:val="0016470C"/>
    <w:rsid w:val="0016584A"/>
    <w:rsid w:val="00170CE1"/>
    <w:rsid w:val="00174CAA"/>
    <w:rsid w:val="00177CD5"/>
    <w:rsid w:val="001817D2"/>
    <w:rsid w:val="00184086"/>
    <w:rsid w:val="001904A8"/>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D0C3A"/>
    <w:rsid w:val="001E14AF"/>
    <w:rsid w:val="001E3AAF"/>
    <w:rsid w:val="001E5120"/>
    <w:rsid w:val="001F0A6E"/>
    <w:rsid w:val="001F39FA"/>
    <w:rsid w:val="00202A04"/>
    <w:rsid w:val="00205197"/>
    <w:rsid w:val="0020593D"/>
    <w:rsid w:val="00207B98"/>
    <w:rsid w:val="00210001"/>
    <w:rsid w:val="0021106D"/>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7035"/>
    <w:rsid w:val="002D78B4"/>
    <w:rsid w:val="002D7C8E"/>
    <w:rsid w:val="002E160F"/>
    <w:rsid w:val="002E3CAE"/>
    <w:rsid w:val="002E3F91"/>
    <w:rsid w:val="002E480D"/>
    <w:rsid w:val="002E5F6B"/>
    <w:rsid w:val="002F084D"/>
    <w:rsid w:val="002F308B"/>
    <w:rsid w:val="003022D4"/>
    <w:rsid w:val="003078E5"/>
    <w:rsid w:val="00310B4A"/>
    <w:rsid w:val="003238C3"/>
    <w:rsid w:val="00323A82"/>
    <w:rsid w:val="00324BCD"/>
    <w:rsid w:val="00324F30"/>
    <w:rsid w:val="00325023"/>
    <w:rsid w:val="00325FD8"/>
    <w:rsid w:val="003265B9"/>
    <w:rsid w:val="00327232"/>
    <w:rsid w:val="00331182"/>
    <w:rsid w:val="00340EE0"/>
    <w:rsid w:val="00343032"/>
    <w:rsid w:val="00352D2C"/>
    <w:rsid w:val="0035658A"/>
    <w:rsid w:val="00356CA7"/>
    <w:rsid w:val="00364141"/>
    <w:rsid w:val="00367EF6"/>
    <w:rsid w:val="00373F2A"/>
    <w:rsid w:val="003779A2"/>
    <w:rsid w:val="0038139C"/>
    <w:rsid w:val="00381D92"/>
    <w:rsid w:val="0038360C"/>
    <w:rsid w:val="00386157"/>
    <w:rsid w:val="00386ADE"/>
    <w:rsid w:val="00391E14"/>
    <w:rsid w:val="003959F6"/>
    <w:rsid w:val="003A73C1"/>
    <w:rsid w:val="003B791E"/>
    <w:rsid w:val="003C609E"/>
    <w:rsid w:val="003C6275"/>
    <w:rsid w:val="003D69A5"/>
    <w:rsid w:val="003E34F6"/>
    <w:rsid w:val="003E4927"/>
    <w:rsid w:val="003E4D76"/>
    <w:rsid w:val="003E5496"/>
    <w:rsid w:val="003E55B1"/>
    <w:rsid w:val="003F004A"/>
    <w:rsid w:val="003F1437"/>
    <w:rsid w:val="003F17EC"/>
    <w:rsid w:val="003F185C"/>
    <w:rsid w:val="003F36A3"/>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37264"/>
    <w:rsid w:val="00441EA1"/>
    <w:rsid w:val="00445798"/>
    <w:rsid w:val="0044725C"/>
    <w:rsid w:val="00447465"/>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91452"/>
    <w:rsid w:val="004929AB"/>
    <w:rsid w:val="0049465E"/>
    <w:rsid w:val="00494AE7"/>
    <w:rsid w:val="004A030A"/>
    <w:rsid w:val="004A5A01"/>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4883"/>
    <w:rsid w:val="0052325B"/>
    <w:rsid w:val="0053132E"/>
    <w:rsid w:val="005449D1"/>
    <w:rsid w:val="00546070"/>
    <w:rsid w:val="00553BF9"/>
    <w:rsid w:val="00561C04"/>
    <w:rsid w:val="0056213B"/>
    <w:rsid w:val="00562F82"/>
    <w:rsid w:val="00563CBA"/>
    <w:rsid w:val="00564913"/>
    <w:rsid w:val="0057203C"/>
    <w:rsid w:val="005800D8"/>
    <w:rsid w:val="005846C9"/>
    <w:rsid w:val="005873FC"/>
    <w:rsid w:val="00590EAF"/>
    <w:rsid w:val="00595DA6"/>
    <w:rsid w:val="005A6A91"/>
    <w:rsid w:val="005B0043"/>
    <w:rsid w:val="005B0066"/>
    <w:rsid w:val="005C3930"/>
    <w:rsid w:val="005C76D8"/>
    <w:rsid w:val="005E1321"/>
    <w:rsid w:val="005E2DD4"/>
    <w:rsid w:val="005E412D"/>
    <w:rsid w:val="005E4CDC"/>
    <w:rsid w:val="005E6D43"/>
    <w:rsid w:val="005F64F4"/>
    <w:rsid w:val="005F6F64"/>
    <w:rsid w:val="005F7B0A"/>
    <w:rsid w:val="00600604"/>
    <w:rsid w:val="00601C20"/>
    <w:rsid w:val="00605C11"/>
    <w:rsid w:val="00606440"/>
    <w:rsid w:val="006078C2"/>
    <w:rsid w:val="00613DC5"/>
    <w:rsid w:val="006171A9"/>
    <w:rsid w:val="00623436"/>
    <w:rsid w:val="006248A9"/>
    <w:rsid w:val="00625193"/>
    <w:rsid w:val="00640F39"/>
    <w:rsid w:val="00655AAF"/>
    <w:rsid w:val="00656A30"/>
    <w:rsid w:val="00662AC4"/>
    <w:rsid w:val="006673E7"/>
    <w:rsid w:val="00674964"/>
    <w:rsid w:val="00680B7E"/>
    <w:rsid w:val="00683B94"/>
    <w:rsid w:val="00686692"/>
    <w:rsid w:val="00693033"/>
    <w:rsid w:val="00693321"/>
    <w:rsid w:val="00694893"/>
    <w:rsid w:val="00694DD9"/>
    <w:rsid w:val="006A12B1"/>
    <w:rsid w:val="006A14BB"/>
    <w:rsid w:val="006A1642"/>
    <w:rsid w:val="006A5F42"/>
    <w:rsid w:val="006A6103"/>
    <w:rsid w:val="006B10ED"/>
    <w:rsid w:val="006B156A"/>
    <w:rsid w:val="006B4F18"/>
    <w:rsid w:val="006B51B2"/>
    <w:rsid w:val="006C17A0"/>
    <w:rsid w:val="006C2889"/>
    <w:rsid w:val="006C49D5"/>
    <w:rsid w:val="006C755F"/>
    <w:rsid w:val="006D27E3"/>
    <w:rsid w:val="006D3F97"/>
    <w:rsid w:val="006D4135"/>
    <w:rsid w:val="006E0448"/>
    <w:rsid w:val="006E09F2"/>
    <w:rsid w:val="006E721C"/>
    <w:rsid w:val="006F3EE2"/>
    <w:rsid w:val="006F7BAF"/>
    <w:rsid w:val="00700CBD"/>
    <w:rsid w:val="0070207F"/>
    <w:rsid w:val="007028C7"/>
    <w:rsid w:val="00704462"/>
    <w:rsid w:val="00710C7E"/>
    <w:rsid w:val="00714E7C"/>
    <w:rsid w:val="007152C7"/>
    <w:rsid w:val="00723039"/>
    <w:rsid w:val="0073044F"/>
    <w:rsid w:val="00732294"/>
    <w:rsid w:val="00733BAF"/>
    <w:rsid w:val="00733DE0"/>
    <w:rsid w:val="007357C5"/>
    <w:rsid w:val="00736C27"/>
    <w:rsid w:val="0074032D"/>
    <w:rsid w:val="00740D25"/>
    <w:rsid w:val="00741328"/>
    <w:rsid w:val="0075531C"/>
    <w:rsid w:val="00756F76"/>
    <w:rsid w:val="00761FF6"/>
    <w:rsid w:val="00765015"/>
    <w:rsid w:val="007679B9"/>
    <w:rsid w:val="00767B93"/>
    <w:rsid w:val="0077024E"/>
    <w:rsid w:val="00771167"/>
    <w:rsid w:val="00776572"/>
    <w:rsid w:val="00776D50"/>
    <w:rsid w:val="0077738D"/>
    <w:rsid w:val="007774C2"/>
    <w:rsid w:val="00787771"/>
    <w:rsid w:val="00787D28"/>
    <w:rsid w:val="0079000C"/>
    <w:rsid w:val="00790CF8"/>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10EF"/>
    <w:rsid w:val="00803805"/>
    <w:rsid w:val="0080582D"/>
    <w:rsid w:val="00806D9B"/>
    <w:rsid w:val="0080756C"/>
    <w:rsid w:val="00812ACB"/>
    <w:rsid w:val="008147F8"/>
    <w:rsid w:val="00821930"/>
    <w:rsid w:val="00821B3A"/>
    <w:rsid w:val="00821CBB"/>
    <w:rsid w:val="00831204"/>
    <w:rsid w:val="00831208"/>
    <w:rsid w:val="00834300"/>
    <w:rsid w:val="00835A02"/>
    <w:rsid w:val="00841504"/>
    <w:rsid w:val="008429CF"/>
    <w:rsid w:val="008446E2"/>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16EA"/>
    <w:rsid w:val="008A580D"/>
    <w:rsid w:val="008B6162"/>
    <w:rsid w:val="008C04DF"/>
    <w:rsid w:val="008C1971"/>
    <w:rsid w:val="008C1AF7"/>
    <w:rsid w:val="008C57D5"/>
    <w:rsid w:val="008D0EE5"/>
    <w:rsid w:val="008D2CAF"/>
    <w:rsid w:val="008D3A48"/>
    <w:rsid w:val="008D3ACE"/>
    <w:rsid w:val="008D51CC"/>
    <w:rsid w:val="008E1D57"/>
    <w:rsid w:val="008E42DD"/>
    <w:rsid w:val="008E4F95"/>
    <w:rsid w:val="008E5183"/>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5665"/>
    <w:rsid w:val="00935B30"/>
    <w:rsid w:val="00936A4E"/>
    <w:rsid w:val="00941580"/>
    <w:rsid w:val="00942457"/>
    <w:rsid w:val="00944E0C"/>
    <w:rsid w:val="00950D81"/>
    <w:rsid w:val="0095362F"/>
    <w:rsid w:val="00953772"/>
    <w:rsid w:val="009543EB"/>
    <w:rsid w:val="009623AB"/>
    <w:rsid w:val="00970053"/>
    <w:rsid w:val="00970A6B"/>
    <w:rsid w:val="009763C4"/>
    <w:rsid w:val="009803F1"/>
    <w:rsid w:val="009844F7"/>
    <w:rsid w:val="009906A3"/>
    <w:rsid w:val="0099079E"/>
    <w:rsid w:val="00995FFD"/>
    <w:rsid w:val="009A1099"/>
    <w:rsid w:val="009A3490"/>
    <w:rsid w:val="009A45B0"/>
    <w:rsid w:val="009A6A6F"/>
    <w:rsid w:val="009B1B69"/>
    <w:rsid w:val="009B5BC4"/>
    <w:rsid w:val="009C470D"/>
    <w:rsid w:val="009C638B"/>
    <w:rsid w:val="009D3626"/>
    <w:rsid w:val="009D68FB"/>
    <w:rsid w:val="009D7EDF"/>
    <w:rsid w:val="009E04B3"/>
    <w:rsid w:val="009E0DFC"/>
    <w:rsid w:val="009E377E"/>
    <w:rsid w:val="009E428C"/>
    <w:rsid w:val="009E4CBD"/>
    <w:rsid w:val="009E5B74"/>
    <w:rsid w:val="009E7C14"/>
    <w:rsid w:val="009F0234"/>
    <w:rsid w:val="009F419C"/>
    <w:rsid w:val="009F43E0"/>
    <w:rsid w:val="009F6D7E"/>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80062"/>
    <w:rsid w:val="00A856EB"/>
    <w:rsid w:val="00A9022E"/>
    <w:rsid w:val="00A90577"/>
    <w:rsid w:val="00A914E1"/>
    <w:rsid w:val="00A91861"/>
    <w:rsid w:val="00A96322"/>
    <w:rsid w:val="00AA1165"/>
    <w:rsid w:val="00AA2B09"/>
    <w:rsid w:val="00AA3F31"/>
    <w:rsid w:val="00AA4625"/>
    <w:rsid w:val="00AB099E"/>
    <w:rsid w:val="00AB1F1A"/>
    <w:rsid w:val="00AC4F34"/>
    <w:rsid w:val="00AC6401"/>
    <w:rsid w:val="00AC6EC2"/>
    <w:rsid w:val="00AE3A63"/>
    <w:rsid w:val="00AE5435"/>
    <w:rsid w:val="00AF3ABE"/>
    <w:rsid w:val="00AF3C58"/>
    <w:rsid w:val="00AF61CB"/>
    <w:rsid w:val="00AF6959"/>
    <w:rsid w:val="00AF6D17"/>
    <w:rsid w:val="00B00520"/>
    <w:rsid w:val="00B00F8E"/>
    <w:rsid w:val="00B014D0"/>
    <w:rsid w:val="00B025B6"/>
    <w:rsid w:val="00B03CB0"/>
    <w:rsid w:val="00B041A9"/>
    <w:rsid w:val="00B0465E"/>
    <w:rsid w:val="00B1218F"/>
    <w:rsid w:val="00B13262"/>
    <w:rsid w:val="00B14C20"/>
    <w:rsid w:val="00B14E3C"/>
    <w:rsid w:val="00B16238"/>
    <w:rsid w:val="00B23F8B"/>
    <w:rsid w:val="00B27724"/>
    <w:rsid w:val="00B30F3D"/>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B1522"/>
    <w:rsid w:val="00BB4389"/>
    <w:rsid w:val="00BB61BE"/>
    <w:rsid w:val="00BC2797"/>
    <w:rsid w:val="00BC4227"/>
    <w:rsid w:val="00BD1366"/>
    <w:rsid w:val="00BD3419"/>
    <w:rsid w:val="00BD43E5"/>
    <w:rsid w:val="00BD59E3"/>
    <w:rsid w:val="00BD6637"/>
    <w:rsid w:val="00BD7FD7"/>
    <w:rsid w:val="00BE0315"/>
    <w:rsid w:val="00BE05F0"/>
    <w:rsid w:val="00BE12EA"/>
    <w:rsid w:val="00BE1772"/>
    <w:rsid w:val="00BE1DEB"/>
    <w:rsid w:val="00BE7C04"/>
    <w:rsid w:val="00BF0D5C"/>
    <w:rsid w:val="00BF0E8E"/>
    <w:rsid w:val="00BF1A7F"/>
    <w:rsid w:val="00BF7931"/>
    <w:rsid w:val="00C00F37"/>
    <w:rsid w:val="00C03F51"/>
    <w:rsid w:val="00C0679D"/>
    <w:rsid w:val="00C10CC7"/>
    <w:rsid w:val="00C13225"/>
    <w:rsid w:val="00C13335"/>
    <w:rsid w:val="00C14C86"/>
    <w:rsid w:val="00C15A31"/>
    <w:rsid w:val="00C229F8"/>
    <w:rsid w:val="00C25803"/>
    <w:rsid w:val="00C26FD3"/>
    <w:rsid w:val="00C322F1"/>
    <w:rsid w:val="00C33284"/>
    <w:rsid w:val="00C371FA"/>
    <w:rsid w:val="00C4251D"/>
    <w:rsid w:val="00C44F67"/>
    <w:rsid w:val="00C46167"/>
    <w:rsid w:val="00C46F61"/>
    <w:rsid w:val="00C47BB2"/>
    <w:rsid w:val="00C51C28"/>
    <w:rsid w:val="00C53456"/>
    <w:rsid w:val="00C60C2D"/>
    <w:rsid w:val="00C70043"/>
    <w:rsid w:val="00C70E0D"/>
    <w:rsid w:val="00C730B4"/>
    <w:rsid w:val="00C73861"/>
    <w:rsid w:val="00C7432C"/>
    <w:rsid w:val="00C75791"/>
    <w:rsid w:val="00C757A1"/>
    <w:rsid w:val="00C76304"/>
    <w:rsid w:val="00C84955"/>
    <w:rsid w:val="00C86467"/>
    <w:rsid w:val="00C91B01"/>
    <w:rsid w:val="00C95C72"/>
    <w:rsid w:val="00C96B86"/>
    <w:rsid w:val="00C97DF7"/>
    <w:rsid w:val="00CA02C8"/>
    <w:rsid w:val="00CA1A6A"/>
    <w:rsid w:val="00CA4FE2"/>
    <w:rsid w:val="00CA6108"/>
    <w:rsid w:val="00CB54CD"/>
    <w:rsid w:val="00CB766B"/>
    <w:rsid w:val="00CC26B3"/>
    <w:rsid w:val="00CC356D"/>
    <w:rsid w:val="00CD109D"/>
    <w:rsid w:val="00CD1E9D"/>
    <w:rsid w:val="00CD6ABB"/>
    <w:rsid w:val="00CE5CF2"/>
    <w:rsid w:val="00CF673E"/>
    <w:rsid w:val="00D00A5D"/>
    <w:rsid w:val="00D00A87"/>
    <w:rsid w:val="00D02F2F"/>
    <w:rsid w:val="00D10078"/>
    <w:rsid w:val="00D13087"/>
    <w:rsid w:val="00D139AB"/>
    <w:rsid w:val="00D16FA0"/>
    <w:rsid w:val="00D241FF"/>
    <w:rsid w:val="00D25D36"/>
    <w:rsid w:val="00D26DCE"/>
    <w:rsid w:val="00D37DC8"/>
    <w:rsid w:val="00D41AF6"/>
    <w:rsid w:val="00D46635"/>
    <w:rsid w:val="00D5130A"/>
    <w:rsid w:val="00D51769"/>
    <w:rsid w:val="00D522D8"/>
    <w:rsid w:val="00D5491C"/>
    <w:rsid w:val="00D554E8"/>
    <w:rsid w:val="00D5748E"/>
    <w:rsid w:val="00D60871"/>
    <w:rsid w:val="00D612A9"/>
    <w:rsid w:val="00D61896"/>
    <w:rsid w:val="00D6665D"/>
    <w:rsid w:val="00D66935"/>
    <w:rsid w:val="00D77D52"/>
    <w:rsid w:val="00D80021"/>
    <w:rsid w:val="00D8724C"/>
    <w:rsid w:val="00D938C1"/>
    <w:rsid w:val="00DA30CA"/>
    <w:rsid w:val="00DA47A8"/>
    <w:rsid w:val="00DA7D17"/>
    <w:rsid w:val="00DB3177"/>
    <w:rsid w:val="00DB3592"/>
    <w:rsid w:val="00DB4C93"/>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15BAF"/>
    <w:rsid w:val="00E22D1B"/>
    <w:rsid w:val="00E235F5"/>
    <w:rsid w:val="00E23783"/>
    <w:rsid w:val="00E26411"/>
    <w:rsid w:val="00E307B6"/>
    <w:rsid w:val="00E41AD6"/>
    <w:rsid w:val="00E42017"/>
    <w:rsid w:val="00E42730"/>
    <w:rsid w:val="00E42AE5"/>
    <w:rsid w:val="00E46268"/>
    <w:rsid w:val="00E46400"/>
    <w:rsid w:val="00E47776"/>
    <w:rsid w:val="00E55854"/>
    <w:rsid w:val="00E57696"/>
    <w:rsid w:val="00E628AD"/>
    <w:rsid w:val="00E64339"/>
    <w:rsid w:val="00E677BD"/>
    <w:rsid w:val="00E70C44"/>
    <w:rsid w:val="00E72B6E"/>
    <w:rsid w:val="00E8114B"/>
    <w:rsid w:val="00E872A7"/>
    <w:rsid w:val="00E94BFB"/>
    <w:rsid w:val="00EA19E9"/>
    <w:rsid w:val="00EA29F6"/>
    <w:rsid w:val="00EA369D"/>
    <w:rsid w:val="00EA411E"/>
    <w:rsid w:val="00EA46E8"/>
    <w:rsid w:val="00EA641F"/>
    <w:rsid w:val="00EA6A5A"/>
    <w:rsid w:val="00EB19E0"/>
    <w:rsid w:val="00EB5A80"/>
    <w:rsid w:val="00EC07DD"/>
    <w:rsid w:val="00EC0D7C"/>
    <w:rsid w:val="00EC3652"/>
    <w:rsid w:val="00EC7F14"/>
    <w:rsid w:val="00ED0420"/>
    <w:rsid w:val="00ED3643"/>
    <w:rsid w:val="00ED66F9"/>
    <w:rsid w:val="00ED7D4E"/>
    <w:rsid w:val="00EE220A"/>
    <w:rsid w:val="00EE2853"/>
    <w:rsid w:val="00EF5D36"/>
    <w:rsid w:val="00EF66FC"/>
    <w:rsid w:val="00EF6C43"/>
    <w:rsid w:val="00EF7D88"/>
    <w:rsid w:val="00F00D14"/>
    <w:rsid w:val="00F0135B"/>
    <w:rsid w:val="00F02E73"/>
    <w:rsid w:val="00F10140"/>
    <w:rsid w:val="00F11BAF"/>
    <w:rsid w:val="00F11CE3"/>
    <w:rsid w:val="00F16FDF"/>
    <w:rsid w:val="00F17DCE"/>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4824"/>
    <w:rsid w:val="00F5630D"/>
    <w:rsid w:val="00F566F6"/>
    <w:rsid w:val="00F56CE1"/>
    <w:rsid w:val="00F62D01"/>
    <w:rsid w:val="00F62EE5"/>
    <w:rsid w:val="00F63A6F"/>
    <w:rsid w:val="00F669C5"/>
    <w:rsid w:val="00F672FE"/>
    <w:rsid w:val="00F71251"/>
    <w:rsid w:val="00F72DEA"/>
    <w:rsid w:val="00F803B0"/>
    <w:rsid w:val="00F8085F"/>
    <w:rsid w:val="00F80E14"/>
    <w:rsid w:val="00F80E25"/>
    <w:rsid w:val="00F869B7"/>
    <w:rsid w:val="00F9005C"/>
    <w:rsid w:val="00F904AE"/>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5431"/>
    <w:rsid w:val="00FD7077"/>
    <w:rsid w:val="00FE3722"/>
    <w:rsid w:val="00FE5BBC"/>
    <w:rsid w:val="00FF15BD"/>
    <w:rsid w:val="00FF507F"/>
    <w:rsid w:val="00FF649E"/>
    <w:rsid w:val="00FF6FE3"/>
    <w:rsid w:val="128431D7"/>
    <w:rsid w:val="14EA7138"/>
    <w:rsid w:val="52027414"/>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qFormat="1"/>
    <w:lsdException w:name="header" w:semiHidden="0" w:qFormat="1"/>
    <w:lsdException w:name="footer" w:semiHidden="0" w:uiPriority="99"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Tahoma"/>
      <w:szCs w:val="24"/>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nhideWhenUsed/>
    <w:qFormat/>
    <w:rPr>
      <w:sz w:val="24"/>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rPr>
      <w:b/>
      <w:bCs/>
      <w:sz w:val="20"/>
      <w:szCs w:val="20"/>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character" w:styleId="Refdecomentrio">
    <w:name w:val="annotation reference"/>
    <w:basedOn w:val="Fontepargpadro"/>
    <w:semiHidden/>
    <w:unhideWhenUsed/>
    <w:qFormat/>
    <w:rPr>
      <w:sz w:val="18"/>
      <w:szCs w:val="18"/>
    </w:rPr>
  </w:style>
  <w:style w:type="character" w:styleId="Hyperlink">
    <w:name w:val="Hyperlink"/>
    <w:qFormat/>
    <w:rPr>
      <w:color w:val="000080"/>
      <w:u w:val="single"/>
    </w:rPr>
  </w:style>
  <w:style w:type="table" w:styleId="Tabelacomgrade">
    <w:name w:val="Table Grid"/>
    <w:basedOn w:val="Tabelanormal"/>
    <w:qFormat/>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zh-CN" w:eastAsia="en-US"/>
    </w:rPr>
  </w:style>
  <w:style w:type="character" w:customStyle="1" w:styleId="GradeColorida-nfase1Char">
    <w:name w:val="Grade Colorida - Ênfase 1 Char"/>
    <w:link w:val="GradeColorida-nfase11"/>
    <w:uiPriority w:val="29"/>
    <w:rPr>
      <w:rFonts w:ascii="Ecofont_Spranq_eco_Sans" w:eastAsia="Calibri" w:hAnsi="Ecofont_Spranq_eco_Sans"/>
      <w:i/>
      <w:iCs/>
      <w:color w:val="000000"/>
      <w:szCs w:val="24"/>
      <w:shd w:val="clear" w:color="auto" w:fill="FFFFCC"/>
      <w:lang w:val="zh-CN" w:eastAsia="en-US"/>
    </w:rPr>
  </w:style>
  <w:style w:type="character" w:customStyle="1" w:styleId="CabealhoChar">
    <w:name w:val="Cabeçalho Char"/>
    <w:basedOn w:val="Fontepargpadro"/>
    <w:link w:val="Cabealho"/>
    <w:qFormat/>
    <w:rPr>
      <w:rFonts w:ascii="Ecofont_Spranq_eco_Sans" w:hAnsi="Ecofont_Spranq_eco_Sans" w:cs="Tahoma"/>
      <w:sz w:val="24"/>
      <w:szCs w:val="24"/>
    </w:rPr>
  </w:style>
  <w:style w:type="character" w:customStyle="1" w:styleId="RodapChar">
    <w:name w:val="Rodapé Char"/>
    <w:basedOn w:val="Fontepargpadro"/>
    <w:link w:val="Rodap"/>
    <w:uiPriority w:val="99"/>
    <w:rPr>
      <w:rFonts w:ascii="Ecofont_Spranq_eco_Sans" w:hAnsi="Ecofont_Spranq_eco_Sans" w:cs="Tahoma"/>
      <w:sz w:val="24"/>
      <w:szCs w:val="24"/>
    </w:rPr>
  </w:style>
  <w:style w:type="paragraph" w:customStyle="1" w:styleId="Nivel1">
    <w:name w:val="Nivel1"/>
    <w:basedOn w:val="Ttulo1"/>
    <w:next w:val="Normal"/>
    <w:link w:val="Nivel1Char"/>
    <w:qFormat/>
    <w:pPr>
      <w:numPr>
        <w:numId w:val="2"/>
      </w:numPr>
      <w:spacing w:before="480" w:after="120"/>
      <w:ind w:left="357" w:hanging="357"/>
      <w:jc w:val="both"/>
    </w:pPr>
    <w:rPr>
      <w:rFonts w:ascii="Arial" w:hAnsi="Arial" w:cs="Arial"/>
      <w:b/>
      <w:color w:val="000000"/>
      <w:sz w:val="20"/>
      <w:szCs w:val="20"/>
    </w:rPr>
  </w:style>
  <w:style w:type="character" w:customStyle="1" w:styleId="Ttulo1Char">
    <w:name w:val="Título 1 Char"/>
    <w:basedOn w:val="Fontepargpadro"/>
    <w:link w:val="Ttulo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Pr>
      <w:rFonts w:ascii="Arial" w:eastAsiaTheme="majorEastAsia" w:hAnsi="Arial" w:cs="Arial"/>
      <w:b/>
      <w:color w:val="000000"/>
      <w:sz w:val="32"/>
      <w:szCs w:val="32"/>
    </w:rPr>
  </w:style>
  <w:style w:type="character" w:customStyle="1" w:styleId="TextodecomentrioChar">
    <w:name w:val="Texto de comentário Char"/>
    <w:basedOn w:val="Fontepargpadro"/>
    <w:link w:val="Textodecomentrio"/>
    <w:qFormat/>
    <w:rPr>
      <w:rFonts w:ascii="Arial" w:hAnsi="Arial" w:cs="Tahoma"/>
      <w:sz w:val="24"/>
      <w:szCs w:val="24"/>
    </w:rPr>
  </w:style>
  <w:style w:type="character" w:customStyle="1" w:styleId="AssuntodocomentrioChar">
    <w:name w:val="Assunto do comentário Char"/>
    <w:basedOn w:val="TextodecomentrioChar"/>
    <w:link w:val="Assuntodocomentrio"/>
    <w:semiHidden/>
    <w:rPr>
      <w:rFonts w:ascii="Arial" w:hAnsi="Arial" w:cs="Tahoma"/>
      <w:b/>
      <w:bCs/>
      <w:sz w:val="24"/>
      <w:szCs w:val="24"/>
    </w:rPr>
  </w:style>
  <w:style w:type="paragraph" w:customStyle="1" w:styleId="Nivel01">
    <w:name w:val="Nivel 01"/>
    <w:basedOn w:val="Ttulo1"/>
    <w:next w:val="Normal"/>
    <w:link w:val="Nivel01Char"/>
    <w:qFormat/>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Pr>
      <w:rFonts w:ascii="Ecofont_Spranq_eco_Sans" w:eastAsiaTheme="majorEastAsia" w:hAnsi="Ecofont_Spranq_eco_Sans"/>
      <w:b/>
      <w:bCs/>
      <w:color w:val="000000"/>
    </w:rPr>
  </w:style>
  <w:style w:type="paragraph" w:customStyle="1" w:styleId="Nivel010">
    <w:name w:val="Nivel_01"/>
    <w:basedOn w:val="Ttulo1"/>
    <w:link w:val="Nivel01Char0"/>
    <w:qFormat/>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paragraph" w:customStyle="1" w:styleId="Standard">
    <w:name w:val="Standard"/>
    <w:pPr>
      <w:suppressAutoHyphens/>
      <w:autoSpaceDN w:val="0"/>
      <w:textAlignment w:val="baseline"/>
    </w:pPr>
    <w:rPr>
      <w:rFonts w:ascii="Arial" w:hAnsi="Arial" w:cs="Tahoma"/>
      <w:color w:val="00000A"/>
      <w:kern w:val="3"/>
      <w:sz w:val="24"/>
      <w:szCs w:val="24"/>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rzxr">
    <w:name w:val="lrzxr"/>
    <w:basedOn w:val="Fontepargpadro"/>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qFormat="1"/>
    <w:lsdException w:name="header" w:semiHidden="0" w:qFormat="1"/>
    <w:lsdException w:name="footer" w:semiHidden="0" w:uiPriority="99" w:qFormat="1"/>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List Bullet 5" w:semiHidden="0" w:unhideWhenUsed="0" w:qFormat="1"/>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semiHidden="0" w:unhideWhenUsed="0"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Tahoma"/>
      <w:szCs w:val="24"/>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nhideWhenUsed/>
    <w:qFormat/>
    <w:rPr>
      <w:sz w:val="24"/>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semiHidden/>
    <w:unhideWhenUsed/>
    <w:rPr>
      <w:b/>
      <w:bCs/>
      <w:sz w:val="20"/>
      <w:szCs w:val="20"/>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qFormat/>
    <w:rPr>
      <w:rFonts w:ascii="Tahoma" w:hAnsi="Tahoma"/>
      <w:sz w:val="16"/>
      <w:szCs w:val="16"/>
    </w:rPr>
  </w:style>
  <w:style w:type="character" w:styleId="Refdecomentrio">
    <w:name w:val="annotation reference"/>
    <w:basedOn w:val="Fontepargpadro"/>
    <w:semiHidden/>
    <w:unhideWhenUsed/>
    <w:qFormat/>
    <w:rPr>
      <w:sz w:val="18"/>
      <w:szCs w:val="18"/>
    </w:rPr>
  </w:style>
  <w:style w:type="character" w:styleId="Hyperlink">
    <w:name w:val="Hyperlink"/>
    <w:qFormat/>
    <w:rPr>
      <w:color w:val="000080"/>
      <w:u w:val="single"/>
    </w:rPr>
  </w:style>
  <w:style w:type="table" w:styleId="Tabelacomgrade">
    <w:name w:val="Table Grid"/>
    <w:basedOn w:val="Tabelanormal"/>
    <w:qFormat/>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pPr>
      <w:ind w:left="720"/>
      <w:contextualSpacing/>
    </w:pPr>
  </w:style>
  <w:style w:type="character" w:customStyle="1" w:styleId="TextodebaloChar">
    <w:name w:val="Texto de balão Char"/>
    <w:link w:val="Textodebalo"/>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zh-CN" w:eastAsia="en-US"/>
    </w:rPr>
  </w:style>
  <w:style w:type="character" w:customStyle="1" w:styleId="GradeColorida-nfase1Char">
    <w:name w:val="Grade Colorida - Ênfase 1 Char"/>
    <w:link w:val="GradeColorida-nfase11"/>
    <w:uiPriority w:val="29"/>
    <w:rPr>
      <w:rFonts w:ascii="Ecofont_Spranq_eco_Sans" w:eastAsia="Calibri" w:hAnsi="Ecofont_Spranq_eco_Sans"/>
      <w:i/>
      <w:iCs/>
      <w:color w:val="000000"/>
      <w:szCs w:val="24"/>
      <w:shd w:val="clear" w:color="auto" w:fill="FFFFCC"/>
      <w:lang w:val="zh-CN" w:eastAsia="en-US"/>
    </w:rPr>
  </w:style>
  <w:style w:type="character" w:customStyle="1" w:styleId="CabealhoChar">
    <w:name w:val="Cabeçalho Char"/>
    <w:basedOn w:val="Fontepargpadro"/>
    <w:link w:val="Cabealho"/>
    <w:qFormat/>
    <w:rPr>
      <w:rFonts w:ascii="Ecofont_Spranq_eco_Sans" w:hAnsi="Ecofont_Spranq_eco_Sans" w:cs="Tahoma"/>
      <w:sz w:val="24"/>
      <w:szCs w:val="24"/>
    </w:rPr>
  </w:style>
  <w:style w:type="character" w:customStyle="1" w:styleId="RodapChar">
    <w:name w:val="Rodapé Char"/>
    <w:basedOn w:val="Fontepargpadro"/>
    <w:link w:val="Rodap"/>
    <w:uiPriority w:val="99"/>
    <w:rPr>
      <w:rFonts w:ascii="Ecofont_Spranq_eco_Sans" w:hAnsi="Ecofont_Spranq_eco_Sans" w:cs="Tahoma"/>
      <w:sz w:val="24"/>
      <w:szCs w:val="24"/>
    </w:rPr>
  </w:style>
  <w:style w:type="paragraph" w:customStyle="1" w:styleId="Nivel1">
    <w:name w:val="Nivel1"/>
    <w:basedOn w:val="Ttulo1"/>
    <w:next w:val="Normal"/>
    <w:link w:val="Nivel1Char"/>
    <w:qFormat/>
    <w:pPr>
      <w:numPr>
        <w:numId w:val="2"/>
      </w:numPr>
      <w:spacing w:before="480" w:after="120"/>
      <w:ind w:left="357" w:hanging="357"/>
      <w:jc w:val="both"/>
    </w:pPr>
    <w:rPr>
      <w:rFonts w:ascii="Arial" w:hAnsi="Arial" w:cs="Arial"/>
      <w:b/>
      <w:color w:val="000000"/>
      <w:sz w:val="20"/>
      <w:szCs w:val="20"/>
    </w:rPr>
  </w:style>
  <w:style w:type="character" w:customStyle="1" w:styleId="Ttulo1Char">
    <w:name w:val="Título 1 Char"/>
    <w:basedOn w:val="Fontepargpadro"/>
    <w:link w:val="Ttulo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Pr>
      <w:rFonts w:ascii="Arial" w:eastAsiaTheme="majorEastAsia" w:hAnsi="Arial" w:cs="Arial"/>
      <w:b/>
      <w:color w:val="000000"/>
      <w:sz w:val="32"/>
      <w:szCs w:val="32"/>
    </w:rPr>
  </w:style>
  <w:style w:type="character" w:customStyle="1" w:styleId="TextodecomentrioChar">
    <w:name w:val="Texto de comentário Char"/>
    <w:basedOn w:val="Fontepargpadro"/>
    <w:link w:val="Textodecomentrio"/>
    <w:qFormat/>
    <w:rPr>
      <w:rFonts w:ascii="Arial" w:hAnsi="Arial" w:cs="Tahoma"/>
      <w:sz w:val="24"/>
      <w:szCs w:val="24"/>
    </w:rPr>
  </w:style>
  <w:style w:type="character" w:customStyle="1" w:styleId="AssuntodocomentrioChar">
    <w:name w:val="Assunto do comentário Char"/>
    <w:basedOn w:val="TextodecomentrioChar"/>
    <w:link w:val="Assuntodocomentrio"/>
    <w:semiHidden/>
    <w:rPr>
      <w:rFonts w:ascii="Arial" w:hAnsi="Arial" w:cs="Tahoma"/>
      <w:b/>
      <w:bCs/>
      <w:sz w:val="24"/>
      <w:szCs w:val="24"/>
    </w:rPr>
  </w:style>
  <w:style w:type="paragraph" w:customStyle="1" w:styleId="Nivel01">
    <w:name w:val="Nivel 01"/>
    <w:basedOn w:val="Ttulo1"/>
    <w:next w:val="Normal"/>
    <w:link w:val="Nivel01Char"/>
    <w:qFormat/>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Pr>
      <w:rFonts w:ascii="Ecofont_Spranq_eco_Sans" w:eastAsiaTheme="majorEastAsia" w:hAnsi="Ecofont_Spranq_eco_Sans"/>
      <w:b/>
      <w:bCs/>
      <w:color w:val="000000"/>
    </w:rPr>
  </w:style>
  <w:style w:type="paragraph" w:customStyle="1" w:styleId="Nivel010">
    <w:name w:val="Nivel_01"/>
    <w:basedOn w:val="Ttulo1"/>
    <w:link w:val="Nivel01Char0"/>
    <w:qFormat/>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paragraph" w:customStyle="1" w:styleId="Standard">
    <w:name w:val="Standard"/>
    <w:pPr>
      <w:suppressAutoHyphens/>
      <w:autoSpaceDN w:val="0"/>
      <w:textAlignment w:val="baseline"/>
    </w:pPr>
    <w:rPr>
      <w:rFonts w:ascii="Arial" w:hAnsi="Arial" w:cs="Tahoma"/>
      <w:color w:val="00000A"/>
      <w:kern w:val="3"/>
      <w:sz w:val="24"/>
      <w:szCs w:val="24"/>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rzxr">
    <w:name w:val="lrzxr"/>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2.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299547-96C8-4CF6-9EE9-79989F3C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200</TotalTime>
  <Pages>14</Pages>
  <Words>4186</Words>
  <Characters>22608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Compras-03</cp:lastModifiedBy>
  <cp:revision>30</cp:revision>
  <cp:lastPrinted>2019-05-17T13:09:00Z</cp:lastPrinted>
  <dcterms:created xsi:type="dcterms:W3CDTF">2018-12-20T16:55:00Z</dcterms:created>
  <dcterms:modified xsi:type="dcterms:W3CDTF">2019-05-22T12:19:00Z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1046-10.2.0.7646</vt:lpwstr>
  </property>
</Properties>
</file>