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239"/>
        <w:jc w:val="center"/>
        <w:rPr>
          <w:rFonts w:ascii="Arial" w:hAnsi="Arial" w:eastAsia="Arial"/>
          <w:b/>
          <w:sz w:val="23"/>
        </w:rPr>
      </w:pPr>
    </w:p>
    <w:p>
      <w:pPr>
        <w:spacing w:line="0" w:lineRule="atLeast"/>
        <w:ind w:right="-239"/>
        <w:jc w:val="center"/>
        <w:rPr>
          <w:rFonts w:ascii="Arial" w:hAnsi="Arial" w:eastAsia="Arial"/>
          <w:b/>
          <w:sz w:val="23"/>
        </w:rPr>
      </w:pPr>
    </w:p>
    <w:p>
      <w:pPr>
        <w:spacing w:line="0" w:lineRule="atLeast"/>
        <w:ind w:right="-239"/>
        <w:jc w:val="center"/>
        <w:rPr>
          <w:rFonts w:ascii="Arial" w:hAnsi="Arial" w:eastAsia="Arial"/>
          <w:b/>
          <w:sz w:val="23"/>
        </w:rPr>
      </w:pPr>
      <w:r>
        <w:rPr>
          <w:rFonts w:ascii="Arial" w:hAnsi="Arial" w:eastAsia="Arial"/>
          <w:b/>
          <w:sz w:val="23"/>
        </w:rPr>
        <w:drawing>
          <wp:anchor distT="0" distB="0" distL="114300" distR="114300" simplePos="0" relativeHeight="251658240" behindDoc="1" locked="0" layoutInCell="1" allowOverlap="1">
            <wp:simplePos x="0" y="0"/>
            <wp:positionH relativeFrom="page">
              <wp:posOffset>3626485</wp:posOffset>
            </wp:positionH>
            <wp:positionV relativeFrom="page">
              <wp:posOffset>450215</wp:posOffset>
            </wp:positionV>
            <wp:extent cx="666750" cy="619125"/>
            <wp:effectExtent l="0" t="0" r="0" b="9525"/>
            <wp:wrapNone/>
            <wp:docPr id="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8"/>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66750" cy="619125"/>
                    </a:xfrm>
                    <a:prstGeom prst="rect">
                      <a:avLst/>
                    </a:prstGeom>
                    <a:noFill/>
                    <a:ln>
                      <a:noFill/>
                    </a:ln>
                  </pic:spPr>
                </pic:pic>
              </a:graphicData>
            </a:graphic>
          </wp:anchor>
        </w:drawing>
      </w:r>
      <w:r>
        <w:rPr>
          <w:rFonts w:ascii="Arial" w:hAnsi="Arial" w:eastAsia="Arial"/>
          <w:b/>
          <w:sz w:val="23"/>
        </w:rPr>
        <w:t>SERVIÇO PÚBLICO FEDERAL</w:t>
      </w:r>
    </w:p>
    <w:p>
      <w:pPr>
        <w:spacing w:line="231" w:lineRule="auto"/>
        <w:ind w:right="-239"/>
        <w:jc w:val="center"/>
        <w:rPr>
          <w:rFonts w:ascii="Arial" w:hAnsi="Arial" w:eastAsia="Arial"/>
          <w:b/>
          <w:sz w:val="23"/>
        </w:rPr>
      </w:pPr>
      <w:r>
        <w:rPr>
          <w:rFonts w:ascii="Arial" w:hAnsi="Arial" w:eastAsia="Arial"/>
          <w:b/>
          <w:sz w:val="23"/>
        </w:rPr>
        <w:t>MINISTÉRIO DA EDUCAÇÃO</w:t>
      </w:r>
    </w:p>
    <w:p>
      <w:pPr>
        <w:spacing w:line="8" w:lineRule="exact"/>
        <w:rPr>
          <w:rFonts w:eastAsia="Times New Roman"/>
        </w:rPr>
      </w:pPr>
    </w:p>
    <w:p>
      <w:pPr>
        <w:spacing w:line="0" w:lineRule="atLeast"/>
        <w:ind w:right="-219"/>
        <w:jc w:val="center"/>
        <w:rPr>
          <w:rFonts w:ascii="Arial" w:hAnsi="Arial" w:eastAsia="Arial"/>
          <w:b/>
          <w:sz w:val="21"/>
        </w:rPr>
      </w:pPr>
      <w:r>
        <w:rPr>
          <w:rFonts w:ascii="Arial" w:hAnsi="Arial" w:eastAsia="Arial"/>
          <w:b/>
          <w:sz w:val="21"/>
        </w:rPr>
        <w:t>INSTITUTO FEDERAL DE EDUCAÇÃO, CIÊNCIA E TECNOLOGIA DE MATO GROSSO</w:t>
      </w:r>
    </w:p>
    <w:p>
      <w:pPr>
        <w:spacing w:line="237" w:lineRule="auto"/>
        <w:ind w:right="-279"/>
        <w:jc w:val="center"/>
        <w:rPr>
          <w:rFonts w:ascii="Arial" w:hAnsi="Arial" w:eastAsia="Arial"/>
          <w:b/>
          <w:sz w:val="23"/>
        </w:rPr>
      </w:pPr>
      <w:r>
        <w:rPr>
          <w:rFonts w:ascii="Arial" w:hAnsi="Arial" w:eastAsia="Arial"/>
          <w:b/>
          <w:sz w:val="23"/>
        </w:rPr>
        <w:t>CAMPUS CONFRESA</w:t>
      </w:r>
    </w:p>
    <w:p>
      <w:pPr>
        <w:rPr>
          <w:rFonts w:ascii="Arial" w:hAnsi="Arial" w:cs="Arial"/>
          <w:sz w:val="20"/>
          <w:lang w:eastAsia="en-US"/>
        </w:rPr>
      </w:pPr>
    </w:p>
    <w:p>
      <w:pPr>
        <w:spacing w:after="120" w:line="276" w:lineRule="auto"/>
        <w:ind w:right="-15"/>
        <w:rPr>
          <w:rFonts w:ascii="Arial" w:hAnsi="Arial" w:cs="Arial"/>
          <w:b/>
          <w:bCs/>
          <w:color w:val="000000"/>
          <w:sz w:val="20"/>
        </w:rPr>
      </w:pPr>
    </w:p>
    <w:p>
      <w:pPr>
        <w:pStyle w:val="26"/>
        <w:pBdr>
          <w:top w:val="single" w:color="1F497D" w:sz="4" w:space="0"/>
        </w:pBdr>
        <w:tabs>
          <w:tab w:val="center" w:pos="4252"/>
          <w:tab w:val="left" w:pos="5823"/>
        </w:tabs>
        <w:spacing w:before="0" w:after="120" w:line="276" w:lineRule="auto"/>
        <w:jc w:val="center"/>
        <w:rPr>
          <w:rFonts w:ascii="Arial" w:hAnsi="Arial" w:cs="Arial"/>
          <w:b/>
          <w:szCs w:val="20"/>
        </w:rPr>
      </w:pPr>
      <w:r>
        <w:rPr>
          <w:rFonts w:ascii="Arial" w:hAnsi="Arial" w:cs="Arial"/>
          <w:b/>
          <w:szCs w:val="20"/>
        </w:rPr>
        <w:t>MODELO DE TOMADA DE PREÇOS</w:t>
      </w:r>
    </w:p>
    <w:p>
      <w:pPr>
        <w:pStyle w:val="26"/>
        <w:pBdr>
          <w:top w:val="single" w:color="1F497D" w:sz="4" w:space="0"/>
        </w:pBdr>
        <w:tabs>
          <w:tab w:val="center" w:pos="4252"/>
          <w:tab w:val="left" w:pos="5823"/>
        </w:tabs>
        <w:spacing w:before="0" w:after="120" w:line="276" w:lineRule="auto"/>
        <w:jc w:val="center"/>
        <w:rPr>
          <w:rFonts w:ascii="Arial" w:hAnsi="Arial" w:cs="Arial"/>
          <w:szCs w:val="20"/>
        </w:rPr>
      </w:pPr>
      <w:r>
        <w:rPr>
          <w:rFonts w:ascii="Arial" w:hAnsi="Arial" w:cs="Arial"/>
          <w:b/>
          <w:szCs w:val="20"/>
        </w:rPr>
        <w:t>TIPO MENOR PREÇO</w:t>
      </w:r>
      <w:r>
        <w:rPr>
          <w:rFonts w:ascii="Arial" w:hAnsi="Arial" w:cs="Arial"/>
          <w:szCs w:val="20"/>
        </w:rPr>
        <w:t xml:space="preserve"> </w:t>
      </w:r>
    </w:p>
    <w:p>
      <w:pPr>
        <w:pStyle w:val="26"/>
        <w:pBdr>
          <w:top w:val="single" w:color="1F497D" w:sz="4" w:space="0"/>
        </w:pBdr>
        <w:tabs>
          <w:tab w:val="center" w:pos="4252"/>
          <w:tab w:val="left" w:pos="5823"/>
        </w:tabs>
        <w:spacing w:before="0" w:after="120" w:line="276" w:lineRule="auto"/>
        <w:jc w:val="center"/>
        <w:rPr>
          <w:rFonts w:ascii="Arial" w:hAnsi="Arial" w:cs="Arial"/>
          <w:b/>
          <w:szCs w:val="20"/>
        </w:rPr>
      </w:pPr>
      <w:r>
        <w:rPr>
          <w:rFonts w:ascii="Arial" w:hAnsi="Arial" w:cs="Arial"/>
          <w:b/>
          <w:szCs w:val="20"/>
        </w:rPr>
        <w:t>OBRA DE ENGENHARIA</w:t>
      </w:r>
    </w:p>
    <w:p>
      <w:pPr>
        <w:pStyle w:val="26"/>
        <w:pBdr>
          <w:top w:val="single" w:color="1F497D" w:sz="4" w:space="0"/>
        </w:pBdr>
        <w:tabs>
          <w:tab w:val="center" w:pos="4252"/>
          <w:tab w:val="left" w:pos="5823"/>
        </w:tabs>
        <w:spacing w:before="0" w:after="120" w:line="276" w:lineRule="auto"/>
        <w:jc w:val="center"/>
        <w:rPr>
          <w:rFonts w:ascii="Arial" w:hAnsi="Arial" w:cs="Arial"/>
          <w:b/>
          <w:szCs w:val="20"/>
        </w:rPr>
      </w:pPr>
      <w:r>
        <w:rPr>
          <w:rFonts w:ascii="Arial" w:hAnsi="Arial" w:cs="Arial"/>
          <w:b/>
          <w:szCs w:val="20"/>
        </w:rPr>
        <w:t>HABILITAÇÃO COMPLETA</w:t>
      </w:r>
    </w:p>
    <w:p>
      <w:pPr>
        <w:spacing w:after="120" w:line="276" w:lineRule="auto"/>
        <w:ind w:right="-15"/>
        <w:jc w:val="center"/>
        <w:rPr>
          <w:rFonts w:ascii="Arial" w:hAnsi="Arial" w:cs="Arial"/>
          <w:b/>
          <w:bCs/>
          <w:i/>
          <w:color w:val="FF0000"/>
          <w:sz w:val="22"/>
          <w:szCs w:val="22"/>
        </w:rPr>
      </w:pPr>
    </w:p>
    <w:p>
      <w:pPr>
        <w:spacing w:after="120" w:line="276" w:lineRule="auto"/>
        <w:ind w:right="-15"/>
        <w:jc w:val="center"/>
        <w:rPr>
          <w:rFonts w:ascii="Arial" w:hAnsi="Arial" w:cs="Arial"/>
          <w:b/>
          <w:bCs/>
          <w:color w:val="000000"/>
          <w:sz w:val="22"/>
          <w:szCs w:val="22"/>
        </w:rPr>
      </w:pPr>
      <w:r>
        <w:rPr>
          <w:rFonts w:hint="default" w:ascii="Arial" w:hAnsi="Arial" w:cs="Arial"/>
          <w:b/>
          <w:bCs/>
          <w:color w:val="000000"/>
          <w:sz w:val="22"/>
          <w:szCs w:val="22"/>
          <w:lang w:val="pt-BR"/>
        </w:rPr>
        <w:t xml:space="preserve"> </w:t>
      </w:r>
      <w:r>
        <w:rPr>
          <w:rFonts w:ascii="Arial" w:hAnsi="Arial" w:cs="Arial"/>
          <w:b/>
          <w:bCs/>
          <w:color w:val="000000"/>
          <w:sz w:val="22"/>
          <w:szCs w:val="22"/>
        </w:rPr>
        <w:t xml:space="preserve">EDITAL </w:t>
      </w:r>
    </w:p>
    <w:p>
      <w:pPr>
        <w:spacing w:after="120" w:line="276" w:lineRule="auto"/>
        <w:ind w:right="-15"/>
        <w:jc w:val="center"/>
        <w:rPr>
          <w:rFonts w:hint="default" w:ascii="Arial" w:hAnsi="Arial" w:cs="Arial"/>
          <w:b/>
          <w:bCs/>
          <w:color w:val="000000"/>
          <w:sz w:val="20"/>
          <w:lang w:val="pt-BR"/>
        </w:rPr>
      </w:pPr>
      <w:r>
        <w:rPr>
          <w:rFonts w:hint="default" w:ascii="Arial" w:hAnsi="Arial" w:cs="Arial"/>
          <w:b/>
          <w:bCs/>
          <w:color w:val="000000"/>
          <w:sz w:val="20"/>
          <w:lang w:val="pt-BR"/>
        </w:rPr>
        <w:t xml:space="preserve">TOMADA DE PREÇOS </w:t>
      </w:r>
      <w:r>
        <w:rPr>
          <w:rFonts w:ascii="Arial" w:hAnsi="Arial" w:cs="Arial"/>
          <w:b/>
          <w:bCs/>
          <w:color w:val="000000"/>
          <w:sz w:val="20"/>
        </w:rPr>
        <w:t xml:space="preserve">Nº </w:t>
      </w:r>
      <w:r>
        <w:rPr>
          <w:rFonts w:hint="default" w:ascii="Arial" w:hAnsi="Arial" w:cs="Arial"/>
          <w:b/>
          <w:bCs/>
          <w:color w:val="000000"/>
          <w:sz w:val="20"/>
          <w:lang w:val="pt-BR"/>
        </w:rPr>
        <w:t>01</w:t>
      </w:r>
      <w:r>
        <w:rPr>
          <w:rFonts w:ascii="Arial" w:hAnsi="Arial" w:cs="Arial"/>
          <w:b/>
          <w:bCs/>
          <w:color w:val="000000"/>
          <w:sz w:val="20"/>
        </w:rPr>
        <w:t>/20</w:t>
      </w:r>
      <w:r>
        <w:rPr>
          <w:rFonts w:hint="default" w:ascii="Arial" w:hAnsi="Arial" w:cs="Arial"/>
          <w:b/>
          <w:bCs/>
          <w:color w:val="000000"/>
          <w:sz w:val="20"/>
          <w:lang w:val="pt-BR"/>
        </w:rPr>
        <w:t>20</w:t>
      </w:r>
    </w:p>
    <w:p>
      <w:pPr>
        <w:spacing w:after="120" w:line="276" w:lineRule="auto"/>
        <w:ind w:right="-15"/>
        <w:jc w:val="center"/>
        <w:rPr>
          <w:rFonts w:ascii="Arial" w:hAnsi="Arial" w:cs="Arial"/>
          <w:b/>
          <w:bCs/>
          <w:color w:val="000000"/>
          <w:sz w:val="20"/>
        </w:rPr>
      </w:pPr>
      <w:r>
        <w:rPr>
          <w:rFonts w:ascii="Arial" w:hAnsi="Arial" w:cs="Arial"/>
          <w:b/>
          <w:bCs/>
          <w:color w:val="000000"/>
          <w:sz w:val="20"/>
        </w:rPr>
        <w:t>(Processo Administrativo n°</w:t>
      </w:r>
      <w:r>
        <w:rPr>
          <w:rFonts w:hint="default" w:ascii="Arial" w:hAnsi="Arial" w:cs="Arial"/>
          <w:b/>
          <w:bCs/>
          <w:color w:val="000000"/>
          <w:sz w:val="20"/>
          <w:lang w:val="pt-BR"/>
        </w:rPr>
        <w:t>23193.000496.2020-59</w:t>
      </w:r>
      <w:r>
        <w:rPr>
          <w:rFonts w:ascii="Arial" w:hAnsi="Arial" w:cs="Arial"/>
          <w:b/>
          <w:bCs/>
          <w:color w:val="000000"/>
          <w:sz w:val="20"/>
        </w:rPr>
        <w:t>)</w:t>
      </w:r>
    </w:p>
    <w:p>
      <w:pPr>
        <w:spacing w:after="120" w:line="276" w:lineRule="auto"/>
        <w:ind w:right="-15"/>
        <w:jc w:val="center"/>
        <w:rPr>
          <w:rFonts w:ascii="Arial" w:hAnsi="Arial" w:cs="Arial"/>
          <w:b/>
          <w:bCs/>
          <w:color w:val="000000"/>
          <w:sz w:val="20"/>
        </w:rPr>
      </w:pPr>
    </w:p>
    <w:p>
      <w:pPr>
        <w:snapToGrid w:val="0"/>
        <w:spacing w:before="120" w:after="120" w:line="276" w:lineRule="auto"/>
        <w:ind w:right="-30"/>
        <w:jc w:val="both"/>
        <w:rPr>
          <w:rFonts w:ascii="Arial" w:hAnsi="Arial" w:cs="Arial"/>
          <w:color w:val="000000"/>
          <w:sz w:val="20"/>
        </w:rPr>
      </w:pPr>
      <w:r>
        <w:rPr>
          <w:rFonts w:ascii="Arial" w:hAnsi="Arial" w:cs="Arial"/>
          <w:color w:val="000000"/>
          <w:sz w:val="20"/>
        </w:rPr>
        <w:t>Torna-se público, para conhecimento dos interessados, que o(a)</w:t>
      </w:r>
      <w:r>
        <w:rPr>
          <w:rFonts w:hint="default" w:ascii="Arial" w:hAnsi="Arial" w:cs="Arial"/>
          <w:color w:val="000000"/>
          <w:sz w:val="20"/>
          <w:lang w:val="pt-BR"/>
        </w:rPr>
        <w:t xml:space="preserve"> </w:t>
      </w:r>
      <w:r>
        <w:rPr>
          <w:rFonts w:ascii="Arial" w:hAnsi="Arial" w:eastAsia="Arial"/>
          <w:b/>
          <w:sz w:val="20"/>
          <w:szCs w:val="20"/>
        </w:rPr>
        <w:t>INSTITUTO FEDERAL DE</w:t>
      </w:r>
      <w:r>
        <w:rPr>
          <w:rFonts w:ascii="Arial" w:hAnsi="Arial" w:eastAsia="Arial"/>
          <w:sz w:val="20"/>
          <w:szCs w:val="20"/>
        </w:rPr>
        <w:t xml:space="preserve"> </w:t>
      </w:r>
      <w:r>
        <w:rPr>
          <w:rFonts w:ascii="Arial" w:hAnsi="Arial" w:eastAsia="Arial"/>
          <w:b/>
          <w:sz w:val="20"/>
          <w:szCs w:val="20"/>
        </w:rPr>
        <w:t>EDUCAÇÃO, CIÊNCIA E TECNOLOGIA DE MATO GROSSO – IFMT/CAMPUS CONFRESA</w:t>
      </w:r>
      <w:r>
        <w:rPr>
          <w:rFonts w:ascii="Arial" w:hAnsi="Arial" w:cs="Arial"/>
          <w:color w:val="000000"/>
          <w:sz w:val="20"/>
        </w:rPr>
        <w:t>, por meio do(a)</w:t>
      </w:r>
      <w:r>
        <w:rPr>
          <w:rFonts w:hint="default" w:ascii="Arial" w:hAnsi="Arial" w:cs="Arial"/>
          <w:color w:val="000000"/>
          <w:sz w:val="20"/>
          <w:lang w:val="pt-BR"/>
        </w:rPr>
        <w:t xml:space="preserve"> Coordenação de Compras Contrato e Licitação</w:t>
      </w:r>
      <w:r>
        <w:rPr>
          <w:rFonts w:ascii="Arial" w:hAnsi="Arial" w:cs="Arial"/>
          <w:color w:val="000000"/>
          <w:sz w:val="20"/>
        </w:rPr>
        <w:t>, sediado(a)</w:t>
      </w:r>
      <w:r>
        <w:rPr>
          <w:rFonts w:hint="default" w:ascii="Arial" w:hAnsi="Arial" w:cs="Arial"/>
          <w:color w:val="000000"/>
          <w:sz w:val="20"/>
          <w:lang w:val="pt-BR"/>
        </w:rPr>
        <w:t xml:space="preserve"> </w:t>
      </w:r>
      <w:r>
        <w:rPr>
          <w:rFonts w:ascii="Arial" w:hAnsi="Arial" w:eastAsia="Arial"/>
          <w:sz w:val="20"/>
          <w:szCs w:val="20"/>
        </w:rPr>
        <w:t>na Av. Vilmar Fernandes, nº 300, Setor Santa Luzia, CEP 78652-000, Confresa-MT</w:t>
      </w:r>
      <w:r>
        <w:rPr>
          <w:rFonts w:ascii="Arial" w:hAnsi="Arial" w:cs="Arial"/>
          <w:color w:val="000000"/>
          <w:sz w:val="20"/>
        </w:rPr>
        <w:t xml:space="preserve">, realizará licitação, na modalidade </w:t>
      </w:r>
      <w:r>
        <w:rPr>
          <w:rFonts w:ascii="Arial" w:hAnsi="Arial" w:cs="Arial"/>
          <w:b/>
          <w:color w:val="000000"/>
          <w:sz w:val="20"/>
        </w:rPr>
        <w:t>TOMADA DE PREÇOS</w:t>
      </w:r>
      <w:r>
        <w:rPr>
          <w:rFonts w:ascii="Arial" w:hAnsi="Arial" w:cs="Arial"/>
          <w:color w:val="000000"/>
          <w:sz w:val="20"/>
        </w:rPr>
        <w:t xml:space="preserve">, </w:t>
      </w:r>
      <w:r>
        <w:rPr>
          <w:rFonts w:ascii="Arial" w:hAnsi="Arial" w:cs="Arial"/>
          <w:bCs/>
          <w:color w:val="000000"/>
          <w:sz w:val="20"/>
        </w:rPr>
        <w:t>do</w:t>
      </w:r>
      <w:r>
        <w:rPr>
          <w:rFonts w:ascii="Arial" w:hAnsi="Arial" w:cs="Arial"/>
          <w:color w:val="000000"/>
          <w:sz w:val="20"/>
        </w:rPr>
        <w:t xml:space="preserve"> </w:t>
      </w:r>
      <w:r>
        <w:rPr>
          <w:rFonts w:ascii="Arial" w:hAnsi="Arial" w:cs="Arial"/>
          <w:bCs/>
          <w:iCs/>
          <w:color w:val="000000"/>
          <w:sz w:val="20"/>
        </w:rPr>
        <w:t xml:space="preserve">tipo menor preço </w:t>
      </w:r>
      <w:r>
        <w:rPr>
          <w:rFonts w:hint="default" w:ascii="Arial" w:hAnsi="Arial" w:cs="Arial"/>
          <w:b/>
          <w:bCs w:val="0"/>
          <w:i/>
          <w:iCs/>
          <w:color w:val="auto"/>
          <w:sz w:val="20"/>
          <w:lang w:val="pt-BR"/>
        </w:rPr>
        <w:t>GLOBAL</w:t>
      </w:r>
      <w:r>
        <w:rPr>
          <w:rFonts w:ascii="Arial" w:hAnsi="Arial" w:cs="Arial"/>
          <w:bCs/>
          <w:iCs/>
          <w:color w:val="000000"/>
          <w:sz w:val="20"/>
        </w:rPr>
        <w:t xml:space="preserve">, </w:t>
      </w:r>
      <w:r>
        <w:rPr>
          <w:rFonts w:ascii="Arial" w:hAnsi="Arial" w:cs="Arial"/>
          <w:bCs/>
          <w:sz w:val="20"/>
        </w:rPr>
        <w:t xml:space="preserve">sob a forma de execução indireta, no regime de empreitada por </w:t>
      </w:r>
      <w:r>
        <w:rPr>
          <w:rFonts w:ascii="Arial" w:hAnsi="Arial" w:cs="Arial"/>
          <w:b/>
          <w:bCs w:val="0"/>
          <w:i/>
          <w:iCs/>
          <w:color w:val="000000" w:themeColor="text1"/>
          <w:sz w:val="20"/>
          <w14:textFill>
            <w14:solidFill>
              <w14:schemeClr w14:val="tx1"/>
            </w14:solidFill>
          </w14:textFill>
        </w:rPr>
        <w:t>global</w:t>
      </w:r>
      <w:r>
        <w:rPr>
          <w:rFonts w:ascii="Arial" w:hAnsi="Arial" w:cs="Arial"/>
          <w:b/>
          <w:bCs/>
          <w:color w:val="000000"/>
          <w:sz w:val="20"/>
        </w:rPr>
        <w:t xml:space="preserve">, </w:t>
      </w:r>
      <w:r>
        <w:rPr>
          <w:rFonts w:ascii="Arial" w:hAnsi="Arial" w:cs="Arial"/>
          <w:color w:val="000000"/>
          <w:sz w:val="20"/>
        </w:rPr>
        <w:t>nos termos da Lei nº 8.666, de 21 de junho de 1993, da Lei Complementar n° 123, de 14 de dezembro de 2006</w:t>
      </w:r>
      <w:r>
        <w:rPr>
          <w:rFonts w:ascii="Arial" w:hAnsi="Arial" w:cs="Arial"/>
          <w:color w:val="000000" w:themeColor="text1"/>
          <w:sz w:val="20"/>
          <w:highlight w:val="none"/>
          <w:shd w:val="clear" w:color="FFFFFF"/>
          <w14:textFill>
            <w14:solidFill>
              <w14:schemeClr w14:val="tx1"/>
            </w14:solidFill>
          </w14:textFill>
        </w:rPr>
        <w:t>, da Lei nº 11.488, de 15 de junho de 2007,</w:t>
      </w:r>
      <w:r>
        <w:rPr>
          <w:rFonts w:ascii="Arial" w:hAnsi="Arial" w:cs="Arial"/>
          <w:color w:val="auto"/>
          <w:sz w:val="20"/>
        </w:rPr>
        <w:t xml:space="preserve"> </w:t>
      </w:r>
      <w:r>
        <w:rPr>
          <w:rFonts w:ascii="Arial" w:hAnsi="Arial" w:cs="Arial"/>
          <w:sz w:val="20"/>
        </w:rPr>
        <w:t xml:space="preserve">da Lei de Diretrizes Orçamentárias vigente, do Decreto n° 8.538, de 06 de outubro de 2015, </w:t>
      </w:r>
      <w:r>
        <w:rPr>
          <w:rFonts w:ascii="Arial" w:hAnsi="Arial" w:cs="Arial"/>
          <w:color w:val="000000"/>
          <w:sz w:val="20"/>
        </w:rPr>
        <w:t>Decreto nº 7.746, de 05 de junho de 2012,</w:t>
      </w:r>
      <w:r>
        <w:rPr>
          <w:rFonts w:ascii="Arial" w:hAnsi="Arial" w:cs="Arial"/>
          <w:sz w:val="20"/>
        </w:rPr>
        <w:t xml:space="preserve"> </w:t>
      </w:r>
      <w:r>
        <w:rPr>
          <w:rStyle w:val="31"/>
          <w:color w:val="auto"/>
        </w:rPr>
        <w:t xml:space="preserve">do Decreto n. 7.983, de 08 de abril de 2013, </w:t>
      </w:r>
      <w:r>
        <w:rPr>
          <w:rFonts w:ascii="Arial" w:hAnsi="Arial" w:cs="Arial"/>
          <w:color w:val="000000" w:themeColor="text1"/>
          <w:sz w:val="20"/>
          <w14:textFill>
            <w14:solidFill>
              <w14:schemeClr w14:val="tx1"/>
            </w14:solidFill>
          </w14:textFill>
        </w:rPr>
        <w:t>do Decreto 9.507, de 21 de setembro de 2018</w:t>
      </w:r>
      <w:r>
        <w:rPr>
          <w:rFonts w:ascii="Arial" w:hAnsi="Arial" w:cs="Arial"/>
          <w:sz w:val="20"/>
        </w:rPr>
        <w:t>,</w:t>
      </w:r>
      <w:r>
        <w:rPr>
          <w:rFonts w:ascii="Arial" w:hAnsi="Arial" w:cs="Arial"/>
          <w:i/>
          <w:color w:val="FF0000"/>
          <w:sz w:val="20"/>
        </w:rPr>
        <w:t xml:space="preserve"> </w:t>
      </w:r>
      <w:r>
        <w:rPr>
          <w:rFonts w:ascii="Arial" w:hAnsi="Arial" w:cs="Arial"/>
          <w:color w:val="000000" w:themeColor="text1"/>
          <w:sz w:val="20"/>
          <w14:textFill>
            <w14:solidFill>
              <w14:schemeClr w14:val="tx1"/>
            </w14:solidFill>
          </w14:textFill>
        </w:rPr>
        <w:t xml:space="preserve">das Instruções Normativas SEGES/MP nº 05, de 26 de maio de 2017, </w:t>
      </w:r>
      <w:r>
        <w:rPr>
          <w:rFonts w:ascii="Arial" w:hAnsi="Arial" w:cs="Arial"/>
          <w:sz w:val="20"/>
        </w:rPr>
        <w:t xml:space="preserve">Instrução Normativa SLTI/MP nº 1, de 19 de janeiro de 2010, da Instrução Normativa </w:t>
      </w:r>
      <w:r>
        <w:rPr>
          <w:rFonts w:ascii="Arial" w:hAnsi="Arial" w:cs="Arial"/>
          <w:color w:val="000000"/>
          <w:sz w:val="20"/>
        </w:rPr>
        <w:t xml:space="preserve">SEGES/MP nº 3, de 26 de abril de 2018, Instrução Normativa SEGES/MP nº 6, de junho de 2018 e, ainda, de acordo com as condições estabelecidas neste Edital. </w:t>
      </w:r>
    </w:p>
    <w:p>
      <w:pPr>
        <w:spacing w:after="120" w:line="276" w:lineRule="auto"/>
        <w:jc w:val="both"/>
        <w:rPr>
          <w:rFonts w:ascii="Arial" w:hAnsi="Arial" w:cs="Arial"/>
          <w:b/>
          <w:sz w:val="20"/>
          <w:lang w:val="zh-CN"/>
        </w:rPr>
      </w:pPr>
    </w:p>
    <w:p>
      <w:pPr>
        <w:widowControl/>
        <w:numPr>
          <w:ilvl w:val="0"/>
          <w:numId w:val="3"/>
        </w:numPr>
        <w:suppressAutoHyphens w:val="0"/>
        <w:spacing w:before="120" w:after="120" w:line="276" w:lineRule="auto"/>
        <w:ind w:left="0" w:firstLine="0"/>
        <w:jc w:val="both"/>
        <w:rPr>
          <w:rFonts w:ascii="Arial" w:hAnsi="Arial" w:cs="Arial"/>
          <w:sz w:val="20"/>
        </w:rPr>
      </w:pPr>
      <w:r>
        <w:rPr>
          <w:rFonts w:ascii="Arial" w:hAnsi="Arial" w:cs="Arial"/>
          <w:b/>
          <w:sz w:val="20"/>
        </w:rPr>
        <w:t>HORÁRIO, DATA E LOCAL PARA A ENTREGA DOS ENVELOPES CONTENDO A DOCUMENTAÇÃO E PROPOSTAS</w:t>
      </w:r>
      <w:r>
        <w:rPr>
          <w:rFonts w:ascii="Arial" w:hAnsi="Arial" w:cs="Arial"/>
          <w:sz w:val="20"/>
        </w:rPr>
        <w:t xml:space="preserve">: </w:t>
      </w:r>
    </w:p>
    <w:p>
      <w:pPr>
        <w:pStyle w:val="30"/>
        <w:widowControl/>
        <w:numPr>
          <w:ilvl w:val="1"/>
          <w:numId w:val="3"/>
        </w:numPr>
        <w:suppressAutoHyphens w:val="0"/>
        <w:spacing w:before="120" w:after="120" w:line="276" w:lineRule="auto"/>
        <w:ind w:left="425" w:firstLine="0"/>
        <w:jc w:val="both"/>
        <w:rPr>
          <w:rFonts w:ascii="Arial" w:hAnsi="Arial" w:cs="Arial"/>
          <w:sz w:val="20"/>
        </w:rPr>
      </w:pPr>
      <w:r>
        <w:rPr>
          <w:rFonts w:ascii="Arial" w:hAnsi="Arial" w:cs="Arial"/>
          <w:b/>
          <w:bCs/>
          <w:sz w:val="20"/>
          <w:u w:val="single"/>
        </w:rPr>
        <w:t xml:space="preserve">Até às </w:t>
      </w:r>
      <w:r>
        <w:rPr>
          <w:rFonts w:hint="default" w:ascii="Arial" w:hAnsi="Arial" w:cs="Arial"/>
          <w:b/>
          <w:bCs/>
          <w:sz w:val="20"/>
          <w:u w:val="single"/>
          <w:lang w:val="pt-BR"/>
        </w:rPr>
        <w:t>08:50</w:t>
      </w:r>
      <w:r>
        <w:rPr>
          <w:rFonts w:ascii="Arial" w:hAnsi="Arial" w:cs="Arial"/>
          <w:b/>
          <w:bCs/>
          <w:sz w:val="20"/>
          <w:u w:val="single"/>
        </w:rPr>
        <w:t xml:space="preserve"> horas, do dia </w:t>
      </w:r>
      <w:r>
        <w:rPr>
          <w:rFonts w:hint="default" w:ascii="Arial" w:hAnsi="Arial" w:cs="Arial"/>
          <w:b/>
          <w:bCs/>
          <w:sz w:val="20"/>
          <w:u w:val="single"/>
          <w:lang w:val="pt-BR"/>
        </w:rPr>
        <w:t>03</w:t>
      </w:r>
      <w:r>
        <w:rPr>
          <w:rFonts w:ascii="Arial" w:hAnsi="Arial" w:cs="Arial"/>
          <w:b/>
          <w:bCs/>
          <w:sz w:val="20"/>
          <w:u w:val="single"/>
        </w:rPr>
        <w:t>, mês</w:t>
      </w:r>
      <w:r>
        <w:rPr>
          <w:rFonts w:hint="default" w:ascii="Arial" w:hAnsi="Arial" w:cs="Arial"/>
          <w:b/>
          <w:bCs/>
          <w:sz w:val="20"/>
          <w:u w:val="single"/>
          <w:lang w:val="pt-BR"/>
        </w:rPr>
        <w:t xml:space="preserve"> Dezembro</w:t>
      </w:r>
      <w:r>
        <w:rPr>
          <w:rFonts w:ascii="Arial" w:hAnsi="Arial" w:cs="Arial"/>
          <w:b/>
          <w:bCs/>
          <w:sz w:val="20"/>
          <w:u w:val="single"/>
        </w:rPr>
        <w:t xml:space="preserve">, ano </w:t>
      </w:r>
      <w:r>
        <w:rPr>
          <w:rFonts w:hint="default" w:ascii="Arial" w:hAnsi="Arial" w:cs="Arial"/>
          <w:b/>
          <w:bCs/>
          <w:sz w:val="20"/>
          <w:u w:val="single"/>
          <w:lang w:val="pt-BR"/>
        </w:rPr>
        <w:t>2020 (Horário de Brasília-DF)</w:t>
      </w:r>
      <w:r>
        <w:rPr>
          <w:rFonts w:ascii="Arial" w:hAnsi="Arial" w:cs="Arial"/>
          <w:sz w:val="20"/>
        </w:rPr>
        <w:t xml:space="preserve">, no endereço </w:t>
      </w:r>
      <w:r>
        <w:rPr>
          <w:rFonts w:ascii="Arial" w:hAnsi="Arial" w:eastAsia="Arial"/>
          <w:sz w:val="20"/>
          <w:szCs w:val="20"/>
          <w:u w:val="single"/>
        </w:rPr>
        <w:t>Av. Vilmar Fernandes, nº 300, Setor Santa Luzia, CEP 78652-000, Confresa-MT</w:t>
      </w:r>
      <w:r>
        <w:rPr>
          <w:rFonts w:ascii="Arial" w:hAnsi="Arial" w:cs="Arial"/>
          <w:sz w:val="20"/>
        </w:rPr>
        <w:t xml:space="preserve"> para entrega dos Envelopes n° 01, com os documentos de habilitação, e n. 02, com a proposta, além das declarações complementares.</w:t>
      </w:r>
    </w:p>
    <w:p>
      <w:pPr>
        <w:spacing w:after="120" w:line="276" w:lineRule="auto"/>
        <w:jc w:val="both"/>
        <w:rPr>
          <w:rFonts w:ascii="Arial" w:hAnsi="Arial" w:cs="Arial"/>
          <w:sz w:val="20"/>
        </w:rPr>
      </w:pPr>
    </w:p>
    <w:p>
      <w:pPr>
        <w:widowControl/>
        <w:numPr>
          <w:ilvl w:val="0"/>
          <w:numId w:val="3"/>
        </w:numPr>
        <w:suppressAutoHyphens w:val="0"/>
        <w:spacing w:before="120" w:after="120" w:line="276" w:lineRule="auto"/>
        <w:ind w:left="0" w:firstLine="0"/>
        <w:jc w:val="both"/>
        <w:rPr>
          <w:rFonts w:ascii="Arial" w:hAnsi="Arial" w:cs="Arial"/>
          <w:b/>
          <w:sz w:val="20"/>
        </w:rPr>
      </w:pPr>
      <w:r>
        <w:rPr>
          <w:rFonts w:ascii="Arial" w:hAnsi="Arial" w:cs="Arial"/>
          <w:b/>
          <w:sz w:val="20"/>
        </w:rPr>
        <w:t>HORÁRIO, DATA E LOCAL PARA INÍCIO DA SESSÃO PÚBLICA</w:t>
      </w:r>
    </w:p>
    <w:p>
      <w:pPr>
        <w:numPr>
          <w:ilvl w:val="1"/>
          <w:numId w:val="3"/>
        </w:numPr>
        <w:spacing w:before="120" w:after="120" w:line="276" w:lineRule="auto"/>
        <w:ind w:left="425" w:firstLine="0"/>
        <w:jc w:val="both"/>
        <w:rPr>
          <w:rFonts w:ascii="Arial" w:hAnsi="Arial" w:cs="Arial"/>
          <w:sz w:val="20"/>
        </w:rPr>
      </w:pPr>
      <w:r>
        <w:rPr>
          <w:rFonts w:ascii="Arial" w:hAnsi="Arial" w:cs="Arial"/>
          <w:b/>
          <w:bCs/>
          <w:sz w:val="20"/>
          <w:u w:val="single"/>
        </w:rPr>
        <w:t xml:space="preserve">Às </w:t>
      </w:r>
      <w:r>
        <w:rPr>
          <w:rFonts w:hint="default" w:ascii="Arial" w:hAnsi="Arial" w:cs="Arial"/>
          <w:b/>
          <w:bCs/>
          <w:sz w:val="20"/>
          <w:u w:val="single"/>
          <w:lang w:val="pt-BR"/>
        </w:rPr>
        <w:t>9:00</w:t>
      </w:r>
      <w:r>
        <w:rPr>
          <w:rFonts w:ascii="Arial" w:hAnsi="Arial" w:cs="Arial"/>
          <w:b/>
          <w:bCs/>
          <w:sz w:val="20"/>
          <w:u w:val="single"/>
        </w:rPr>
        <w:t xml:space="preserve"> horas, do dia </w:t>
      </w:r>
      <w:r>
        <w:rPr>
          <w:rFonts w:hint="default" w:ascii="Arial" w:hAnsi="Arial" w:cs="Arial"/>
          <w:b/>
          <w:bCs/>
          <w:sz w:val="20"/>
          <w:u w:val="single"/>
          <w:lang w:val="pt-BR"/>
        </w:rPr>
        <w:t>03</w:t>
      </w:r>
      <w:r>
        <w:rPr>
          <w:rFonts w:ascii="Arial" w:hAnsi="Arial" w:cs="Arial"/>
          <w:b/>
          <w:bCs/>
          <w:sz w:val="20"/>
          <w:u w:val="single"/>
        </w:rPr>
        <w:t>, mês</w:t>
      </w:r>
      <w:r>
        <w:rPr>
          <w:rFonts w:hint="default" w:ascii="Arial" w:hAnsi="Arial" w:cs="Arial"/>
          <w:b/>
          <w:bCs/>
          <w:sz w:val="20"/>
          <w:u w:val="single"/>
          <w:lang w:val="pt-BR"/>
        </w:rPr>
        <w:t xml:space="preserve"> Dezembro</w:t>
      </w:r>
      <w:r>
        <w:rPr>
          <w:rFonts w:ascii="Arial" w:hAnsi="Arial" w:cs="Arial"/>
          <w:b/>
          <w:bCs/>
          <w:sz w:val="20"/>
          <w:u w:val="single"/>
        </w:rPr>
        <w:t xml:space="preserve">, ano </w:t>
      </w:r>
      <w:r>
        <w:rPr>
          <w:rFonts w:hint="default" w:ascii="Arial" w:hAnsi="Arial" w:cs="Arial"/>
          <w:b/>
          <w:bCs/>
          <w:sz w:val="20"/>
          <w:u w:val="single"/>
          <w:lang w:val="pt-BR"/>
        </w:rPr>
        <w:t>2020 (Horário de Brasília-DF)</w:t>
      </w:r>
      <w:r>
        <w:rPr>
          <w:rFonts w:ascii="Arial" w:hAnsi="Arial" w:cs="Arial"/>
          <w:sz w:val="20"/>
        </w:rPr>
        <w:t xml:space="preserve">, no setor </w:t>
      </w:r>
      <w:r>
        <w:rPr>
          <w:rFonts w:ascii="Arial" w:hAnsi="Arial" w:eastAsia="Arial"/>
          <w:b/>
          <w:bCs/>
          <w:sz w:val="20"/>
          <w:szCs w:val="20"/>
          <w:u w:val="single"/>
        </w:rPr>
        <w:t>Setor Santa Luzia</w:t>
      </w:r>
      <w:r>
        <w:rPr>
          <w:rFonts w:ascii="Arial" w:hAnsi="Arial" w:cs="Arial"/>
          <w:color w:val="FF0000"/>
          <w:sz w:val="20"/>
        </w:rPr>
        <w:t xml:space="preserve">. </w:t>
      </w:r>
      <w:r>
        <w:rPr>
          <w:rFonts w:ascii="Arial" w:hAnsi="Arial" w:cs="Arial"/>
          <w:sz w:val="20"/>
        </w:rPr>
        <w:t xml:space="preserve">localizado no endereço </w:t>
      </w:r>
      <w:r>
        <w:rPr>
          <w:rFonts w:ascii="Arial" w:hAnsi="Arial" w:eastAsia="Arial"/>
          <w:b/>
          <w:bCs/>
          <w:sz w:val="20"/>
          <w:szCs w:val="20"/>
          <w:u w:val="single"/>
        </w:rPr>
        <w:t>Av. Vilmar Fernandes, nº 300, CEP 78652-000, Confresa-MT</w:t>
      </w:r>
      <w:r>
        <w:rPr>
          <w:rFonts w:ascii="Arial" w:hAnsi="Arial" w:cs="Arial"/>
          <w:color w:val="FF0000"/>
          <w:sz w:val="20"/>
        </w:rPr>
        <w:t xml:space="preserve"> </w:t>
      </w:r>
      <w:r>
        <w:rPr>
          <w:rFonts w:ascii="Arial" w:hAnsi="Arial" w:cs="Arial"/>
          <w:sz w:val="20"/>
        </w:rPr>
        <w:t>terá início a sessão pública, prosseguindo-se com o credenciamento dos participantes e a abertura dos envelopes contendo a documentação de habilitação e a realização de consulta “on line” ao SICAF.</w:t>
      </w:r>
    </w:p>
    <w:p>
      <w:pPr>
        <w:widowControl/>
        <w:numPr>
          <w:ilvl w:val="1"/>
          <w:numId w:val="3"/>
        </w:numPr>
        <w:suppressAutoHyphens w:val="0"/>
        <w:spacing w:before="120" w:after="120" w:line="276" w:lineRule="auto"/>
        <w:ind w:left="425" w:firstLine="0"/>
        <w:jc w:val="both"/>
        <w:rPr>
          <w:rFonts w:ascii="Arial" w:hAnsi="Arial" w:cs="Arial"/>
          <w:bCs/>
          <w:sz w:val="20"/>
        </w:rPr>
      </w:pPr>
      <w:r>
        <w:rPr>
          <w:rFonts w:ascii="Arial" w:hAnsi="Arial" w:cs="Arial"/>
          <w:bCs/>
          <w:sz w:val="20"/>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Style w:val="18"/>
        <w:tblW w:w="0" w:type="auto"/>
        <w:jc w:val="center"/>
        <w:tblLayout w:type="fixed"/>
        <w:tblCellMar>
          <w:top w:w="0" w:type="dxa"/>
          <w:left w:w="70" w:type="dxa"/>
          <w:bottom w:w="0" w:type="dxa"/>
          <w:right w:w="70" w:type="dxa"/>
        </w:tblCellMar>
      </w:tblPr>
      <w:tblGrid>
        <w:gridCol w:w="7176"/>
      </w:tblGrid>
      <w:tr>
        <w:tblPrEx>
          <w:tblCellMar>
            <w:top w:w="0" w:type="dxa"/>
            <w:left w:w="70" w:type="dxa"/>
            <w:bottom w:w="0" w:type="dxa"/>
            <w:right w:w="70" w:type="dxa"/>
          </w:tblCellMar>
        </w:tblPrEx>
        <w:trPr>
          <w:cantSplit/>
          <w:trHeight w:val="1446" w:hRule="atLeast"/>
          <w:jc w:val="center"/>
        </w:trPr>
        <w:tc>
          <w:tcPr>
            <w:tcW w:w="7176" w:type="dxa"/>
            <w:tcBorders>
              <w:top w:val="single" w:color="000000" w:sz="8" w:space="0"/>
              <w:left w:val="single" w:color="000000" w:sz="8" w:space="0"/>
              <w:bottom w:val="single" w:color="000000" w:sz="8" w:space="0"/>
              <w:right w:val="single" w:color="000000" w:sz="8" w:space="0"/>
            </w:tcBorders>
          </w:tcPr>
          <w:p>
            <w:pPr>
              <w:tabs>
                <w:tab w:val="left" w:pos="7811"/>
              </w:tabs>
              <w:snapToGrid w:val="0"/>
              <w:spacing w:after="120" w:line="276" w:lineRule="auto"/>
              <w:jc w:val="center"/>
              <w:rPr>
                <w:rFonts w:ascii="Arial" w:hAnsi="Arial" w:cs="Arial"/>
                <w:b/>
                <w:sz w:val="20"/>
              </w:rPr>
            </w:pPr>
          </w:p>
          <w:p>
            <w:pPr>
              <w:tabs>
                <w:tab w:val="left" w:pos="7811"/>
              </w:tabs>
              <w:spacing w:after="120" w:line="276" w:lineRule="auto"/>
              <w:jc w:val="center"/>
              <w:rPr>
                <w:rFonts w:ascii="Arial" w:hAnsi="Arial" w:cs="Arial"/>
                <w:sz w:val="20"/>
              </w:rPr>
            </w:pPr>
            <w:r>
              <w:rPr>
                <w:rFonts w:ascii="Arial" w:hAnsi="Arial" w:cs="Arial"/>
                <w:sz w:val="20"/>
              </w:rPr>
              <w:t>ENVELOPE Nº 1</w:t>
            </w:r>
          </w:p>
          <w:p>
            <w:pPr>
              <w:tabs>
                <w:tab w:val="left" w:pos="7811"/>
              </w:tabs>
              <w:spacing w:after="120" w:line="276" w:lineRule="auto"/>
              <w:jc w:val="center"/>
              <w:rPr>
                <w:rFonts w:ascii="Arial" w:hAnsi="Arial" w:cs="Arial"/>
                <w:sz w:val="20"/>
              </w:rPr>
            </w:pPr>
            <w:r>
              <w:rPr>
                <w:rFonts w:ascii="Arial" w:hAnsi="Arial" w:cs="Arial"/>
                <w:sz w:val="20"/>
              </w:rPr>
              <w:t>DOCUMENTOS DE HABILITAÇÃO</w:t>
            </w:r>
          </w:p>
          <w:p>
            <w:pPr>
              <w:tabs>
                <w:tab w:val="left" w:pos="7811"/>
              </w:tabs>
              <w:spacing w:after="120" w:line="276" w:lineRule="auto"/>
              <w:jc w:val="center"/>
              <w:rPr>
                <w:rFonts w:hint="default" w:ascii="Arial" w:hAnsi="Arial" w:cs="Arial"/>
                <w:i/>
                <w:color w:val="auto"/>
                <w:sz w:val="20"/>
                <w:lang w:val="pt-BR"/>
              </w:rPr>
            </w:pPr>
            <w:r>
              <w:rPr>
                <w:rFonts w:hint="default" w:ascii="Arial" w:hAnsi="Arial" w:cs="Arial"/>
                <w:i/>
                <w:color w:val="auto"/>
                <w:sz w:val="20"/>
                <w:lang w:val="pt-BR"/>
              </w:rPr>
              <w:t>IFMT CAMPUS CONFRESA</w:t>
            </w:r>
          </w:p>
          <w:p>
            <w:pPr>
              <w:tabs>
                <w:tab w:val="left" w:pos="7811"/>
              </w:tabs>
              <w:spacing w:after="120" w:line="276" w:lineRule="auto"/>
              <w:jc w:val="center"/>
              <w:rPr>
                <w:rFonts w:ascii="Arial" w:hAnsi="Arial" w:cs="Arial"/>
                <w:sz w:val="20"/>
              </w:rPr>
            </w:pPr>
            <w:r>
              <w:rPr>
                <w:rFonts w:ascii="Arial" w:hAnsi="Arial" w:cs="Arial"/>
                <w:sz w:val="20"/>
              </w:rPr>
              <w:t xml:space="preserve">TOMADA DE PREÇOS Nº </w:t>
            </w:r>
            <w:r>
              <w:rPr>
                <w:rFonts w:hint="default" w:ascii="Arial" w:hAnsi="Arial" w:cs="Arial"/>
                <w:sz w:val="20"/>
                <w:lang w:val="pt-BR"/>
              </w:rPr>
              <w:t>01</w:t>
            </w:r>
            <w:r>
              <w:rPr>
                <w:rFonts w:ascii="Arial" w:hAnsi="Arial" w:cs="Arial"/>
                <w:sz w:val="20"/>
              </w:rPr>
              <w:t>/20</w:t>
            </w:r>
            <w:r>
              <w:rPr>
                <w:rFonts w:hint="default" w:ascii="Arial" w:hAnsi="Arial" w:cs="Arial"/>
                <w:sz w:val="20"/>
                <w:lang w:val="pt-BR"/>
              </w:rPr>
              <w:t>20</w:t>
            </w:r>
          </w:p>
          <w:p>
            <w:pPr>
              <w:tabs>
                <w:tab w:val="left" w:pos="7811"/>
              </w:tabs>
              <w:spacing w:after="120" w:line="276" w:lineRule="auto"/>
              <w:jc w:val="center"/>
              <w:rPr>
                <w:rFonts w:ascii="Arial" w:hAnsi="Arial" w:cs="Arial"/>
                <w:sz w:val="20"/>
              </w:rPr>
            </w:pPr>
            <w:r>
              <w:rPr>
                <w:rFonts w:ascii="Arial" w:hAnsi="Arial" w:cs="Arial"/>
                <w:sz w:val="20"/>
              </w:rPr>
              <w:t xml:space="preserve"> (RAZÃO SOCIAL DO PROPONENTE)</w:t>
            </w:r>
          </w:p>
          <w:p>
            <w:pPr>
              <w:tabs>
                <w:tab w:val="left" w:pos="7797"/>
              </w:tabs>
              <w:spacing w:after="120" w:line="276" w:lineRule="auto"/>
              <w:jc w:val="center"/>
              <w:rPr>
                <w:rFonts w:ascii="Arial" w:hAnsi="Arial" w:cs="Arial"/>
                <w:sz w:val="20"/>
              </w:rPr>
            </w:pPr>
            <w:r>
              <w:rPr>
                <w:rFonts w:ascii="Arial" w:hAnsi="Arial" w:cs="Arial"/>
                <w:sz w:val="20"/>
              </w:rPr>
              <w:t>(CNPJ)</w:t>
            </w:r>
          </w:p>
          <w:p>
            <w:pPr>
              <w:tabs>
                <w:tab w:val="left" w:pos="7797"/>
              </w:tabs>
              <w:spacing w:after="120" w:line="276" w:lineRule="auto"/>
              <w:jc w:val="center"/>
              <w:rPr>
                <w:rFonts w:ascii="Arial" w:hAnsi="Arial" w:cs="Arial"/>
                <w:sz w:val="20"/>
              </w:rPr>
            </w:pPr>
          </w:p>
        </w:tc>
      </w:tr>
    </w:tbl>
    <w:p>
      <w:pPr>
        <w:spacing w:after="120" w:line="276" w:lineRule="auto"/>
        <w:jc w:val="both"/>
        <w:rPr>
          <w:rFonts w:ascii="Arial" w:hAnsi="Arial" w:cs="Arial"/>
          <w:sz w:val="20"/>
        </w:rPr>
      </w:pPr>
    </w:p>
    <w:tbl>
      <w:tblPr>
        <w:tblStyle w:val="18"/>
        <w:tblW w:w="0" w:type="auto"/>
        <w:jc w:val="center"/>
        <w:tblLayout w:type="fixed"/>
        <w:tblCellMar>
          <w:top w:w="0" w:type="dxa"/>
          <w:left w:w="70" w:type="dxa"/>
          <w:bottom w:w="0" w:type="dxa"/>
          <w:right w:w="70" w:type="dxa"/>
        </w:tblCellMar>
      </w:tblPr>
      <w:tblGrid>
        <w:gridCol w:w="7176"/>
      </w:tblGrid>
      <w:tr>
        <w:tblPrEx>
          <w:tblCellMar>
            <w:top w:w="0" w:type="dxa"/>
            <w:left w:w="70" w:type="dxa"/>
            <w:bottom w:w="0" w:type="dxa"/>
            <w:right w:w="70" w:type="dxa"/>
          </w:tblCellMar>
        </w:tblPrEx>
        <w:trPr>
          <w:cantSplit/>
          <w:jc w:val="center"/>
        </w:trPr>
        <w:tc>
          <w:tcPr>
            <w:tcW w:w="7176" w:type="dxa"/>
            <w:tcBorders>
              <w:top w:val="single" w:color="000000" w:sz="8" w:space="0"/>
              <w:left w:val="single" w:color="000000" w:sz="8" w:space="0"/>
              <w:bottom w:val="single" w:color="000000" w:sz="8" w:space="0"/>
              <w:right w:val="single" w:color="000000" w:sz="8" w:space="0"/>
            </w:tcBorders>
          </w:tcPr>
          <w:p>
            <w:pPr>
              <w:tabs>
                <w:tab w:val="left" w:pos="7811"/>
              </w:tabs>
              <w:snapToGrid w:val="0"/>
              <w:spacing w:after="120" w:line="276" w:lineRule="auto"/>
              <w:jc w:val="center"/>
              <w:rPr>
                <w:rFonts w:ascii="Arial" w:hAnsi="Arial" w:cs="Arial"/>
                <w:b/>
                <w:sz w:val="20"/>
              </w:rPr>
            </w:pPr>
          </w:p>
          <w:p>
            <w:pPr>
              <w:tabs>
                <w:tab w:val="left" w:pos="7811"/>
              </w:tabs>
              <w:spacing w:after="120" w:line="276" w:lineRule="auto"/>
              <w:jc w:val="center"/>
              <w:rPr>
                <w:rFonts w:ascii="Arial" w:hAnsi="Arial" w:cs="Arial"/>
                <w:sz w:val="20"/>
              </w:rPr>
            </w:pPr>
            <w:r>
              <w:rPr>
                <w:rFonts w:ascii="Arial" w:hAnsi="Arial" w:cs="Arial"/>
                <w:sz w:val="20"/>
              </w:rPr>
              <w:t>ENVELOPE Nº 2</w:t>
            </w:r>
          </w:p>
          <w:p>
            <w:pPr>
              <w:tabs>
                <w:tab w:val="left" w:pos="7811"/>
              </w:tabs>
              <w:spacing w:after="120" w:line="276" w:lineRule="auto"/>
              <w:jc w:val="center"/>
              <w:rPr>
                <w:rFonts w:ascii="Arial" w:hAnsi="Arial" w:cs="Arial"/>
                <w:sz w:val="20"/>
              </w:rPr>
            </w:pPr>
            <w:r>
              <w:rPr>
                <w:rFonts w:ascii="Arial" w:hAnsi="Arial" w:cs="Arial"/>
                <w:sz w:val="20"/>
              </w:rPr>
              <w:t xml:space="preserve">PROPOSTA </w:t>
            </w:r>
          </w:p>
          <w:p>
            <w:pPr>
              <w:tabs>
                <w:tab w:val="left" w:pos="7811"/>
              </w:tabs>
              <w:spacing w:after="120" w:line="276" w:lineRule="auto"/>
              <w:jc w:val="center"/>
              <w:rPr>
                <w:rFonts w:hint="default" w:ascii="Arial" w:hAnsi="Arial" w:cs="Arial"/>
                <w:i/>
                <w:color w:val="auto"/>
                <w:sz w:val="20"/>
                <w:lang w:val="pt-BR"/>
              </w:rPr>
            </w:pPr>
            <w:r>
              <w:rPr>
                <w:rFonts w:hint="default" w:ascii="Arial" w:hAnsi="Arial" w:cs="Arial"/>
                <w:i/>
                <w:color w:val="auto"/>
                <w:sz w:val="20"/>
                <w:lang w:val="pt-BR"/>
              </w:rPr>
              <w:t>IFMT CAMPUS CONFRESA</w:t>
            </w:r>
          </w:p>
          <w:p>
            <w:pPr>
              <w:tabs>
                <w:tab w:val="left" w:pos="7811"/>
              </w:tabs>
              <w:spacing w:after="120" w:line="276" w:lineRule="auto"/>
              <w:jc w:val="center"/>
              <w:rPr>
                <w:rFonts w:hint="default" w:ascii="Arial" w:hAnsi="Arial" w:cs="Arial"/>
                <w:sz w:val="20"/>
                <w:lang w:val="pt-BR"/>
              </w:rPr>
            </w:pPr>
            <w:r>
              <w:rPr>
                <w:rFonts w:ascii="Arial" w:hAnsi="Arial" w:cs="Arial"/>
                <w:sz w:val="20"/>
              </w:rPr>
              <w:t xml:space="preserve">TOMADA DE PREÇOS Nº </w:t>
            </w:r>
            <w:r>
              <w:rPr>
                <w:rFonts w:hint="default" w:ascii="Arial" w:hAnsi="Arial" w:cs="Arial"/>
                <w:sz w:val="20"/>
                <w:lang w:val="pt-BR"/>
              </w:rPr>
              <w:t>01</w:t>
            </w:r>
            <w:r>
              <w:rPr>
                <w:rFonts w:ascii="Arial" w:hAnsi="Arial" w:cs="Arial"/>
                <w:sz w:val="20"/>
              </w:rPr>
              <w:t>/20</w:t>
            </w:r>
            <w:r>
              <w:rPr>
                <w:rFonts w:hint="default" w:ascii="Arial" w:hAnsi="Arial" w:cs="Arial"/>
                <w:sz w:val="20"/>
                <w:lang w:val="pt-BR"/>
              </w:rPr>
              <w:t>20</w:t>
            </w:r>
          </w:p>
          <w:p>
            <w:pPr>
              <w:tabs>
                <w:tab w:val="left" w:pos="7811"/>
              </w:tabs>
              <w:spacing w:after="120" w:line="276" w:lineRule="auto"/>
              <w:jc w:val="center"/>
              <w:rPr>
                <w:rFonts w:ascii="Arial" w:hAnsi="Arial" w:cs="Arial"/>
                <w:sz w:val="20"/>
              </w:rPr>
            </w:pPr>
            <w:r>
              <w:rPr>
                <w:rFonts w:ascii="Arial" w:hAnsi="Arial" w:cs="Arial"/>
                <w:sz w:val="20"/>
              </w:rPr>
              <w:t xml:space="preserve"> (RAZÃO SOCIAL DO PROPONENTE)</w:t>
            </w:r>
          </w:p>
          <w:p>
            <w:pPr>
              <w:tabs>
                <w:tab w:val="left" w:pos="7797"/>
              </w:tabs>
              <w:spacing w:after="120" w:line="276" w:lineRule="auto"/>
              <w:jc w:val="center"/>
              <w:rPr>
                <w:rFonts w:ascii="Arial" w:hAnsi="Arial" w:cs="Arial"/>
                <w:sz w:val="20"/>
              </w:rPr>
            </w:pPr>
            <w:r>
              <w:rPr>
                <w:rFonts w:ascii="Arial" w:hAnsi="Arial" w:cs="Arial"/>
                <w:sz w:val="20"/>
              </w:rPr>
              <w:t>(CNPJ)</w:t>
            </w:r>
          </w:p>
          <w:p>
            <w:pPr>
              <w:tabs>
                <w:tab w:val="left" w:pos="7797"/>
              </w:tabs>
              <w:spacing w:after="120" w:line="276" w:lineRule="auto"/>
              <w:jc w:val="center"/>
              <w:rPr>
                <w:rFonts w:ascii="Arial" w:hAnsi="Arial" w:cs="Arial"/>
                <w:b/>
                <w:sz w:val="20"/>
              </w:rPr>
            </w:pPr>
          </w:p>
        </w:tc>
      </w:tr>
    </w:tbl>
    <w:p>
      <w:pPr>
        <w:spacing w:after="120" w:line="276" w:lineRule="auto"/>
        <w:jc w:val="both"/>
        <w:rPr>
          <w:rFonts w:ascii="Arial" w:hAnsi="Arial" w:cs="Arial"/>
          <w:sz w:val="20"/>
        </w:rPr>
      </w:pPr>
    </w:p>
    <w:p>
      <w:pPr>
        <w:pStyle w:val="30"/>
        <w:widowControl/>
        <w:numPr>
          <w:ilvl w:val="1"/>
          <w:numId w:val="3"/>
        </w:numPr>
        <w:suppressAutoHyphens w:val="0"/>
        <w:spacing w:before="120" w:after="120" w:line="276" w:lineRule="auto"/>
        <w:ind w:left="425" w:firstLine="0"/>
        <w:contextualSpacing w:val="0"/>
        <w:jc w:val="both"/>
        <w:rPr>
          <w:rFonts w:ascii="Arial" w:hAnsi="Arial" w:cs="Arial"/>
          <w:sz w:val="20"/>
        </w:rPr>
      </w:pPr>
      <w:r>
        <w:rPr>
          <w:rFonts w:ascii="Arial" w:hAnsi="Arial" w:cs="Arial"/>
          <w:sz w:val="20"/>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Pr>
          <w:rStyle w:val="31"/>
          <w:color w:val="auto"/>
        </w:rPr>
        <w:t>e conter os dois envelopes acima mencionados, além das declarações complementares, com antecedência mínima de 1 (uma) hora do momento marcado para abertura da sessão pública.</w:t>
      </w:r>
    </w:p>
    <w:p>
      <w:pPr>
        <w:spacing w:after="120" w:line="276" w:lineRule="auto"/>
        <w:jc w:val="both"/>
        <w:rPr>
          <w:rFonts w:ascii="Arial" w:hAnsi="Arial" w:cs="Arial"/>
          <w:b/>
          <w:sz w:val="20"/>
        </w:rPr>
      </w:pPr>
    </w:p>
    <w:p>
      <w:pPr>
        <w:widowControl/>
        <w:numPr>
          <w:ilvl w:val="0"/>
          <w:numId w:val="3"/>
        </w:numPr>
        <w:suppressAutoHyphens w:val="0"/>
        <w:spacing w:before="120" w:after="120" w:line="276" w:lineRule="auto"/>
        <w:ind w:left="0" w:firstLine="0"/>
        <w:jc w:val="both"/>
        <w:rPr>
          <w:rFonts w:ascii="Arial" w:hAnsi="Arial" w:cs="Arial"/>
          <w:b/>
          <w:sz w:val="20"/>
        </w:rPr>
      </w:pPr>
      <w:r>
        <w:rPr>
          <w:rFonts w:ascii="Arial" w:hAnsi="Arial" w:cs="Arial"/>
          <w:b/>
          <w:sz w:val="20"/>
        </w:rPr>
        <w:t>DO REPRESENTANTE E DO CREDENCIAMENTO</w:t>
      </w:r>
    </w:p>
    <w:p>
      <w:pPr>
        <w:numPr>
          <w:ilvl w:val="1"/>
          <w:numId w:val="3"/>
        </w:numPr>
        <w:spacing w:before="120" w:after="120" w:line="276" w:lineRule="auto"/>
        <w:ind w:left="425" w:firstLine="0"/>
        <w:jc w:val="both"/>
        <w:rPr>
          <w:rFonts w:ascii="Arial" w:hAnsi="Arial" w:cs="Arial"/>
          <w:sz w:val="20"/>
        </w:rPr>
      </w:pPr>
      <w:r>
        <w:rPr>
          <w:rFonts w:ascii="Arial" w:hAnsi="Arial" w:cs="Arial"/>
          <w:sz w:val="20"/>
        </w:rPr>
        <w:t>Os licitantes que desejarem manifestar-se durante as fases do procedimento licitatório deverão estar devidamente representados por:</w:t>
      </w:r>
    </w:p>
    <w:p>
      <w:pPr>
        <w:numPr>
          <w:ilvl w:val="2"/>
          <w:numId w:val="3"/>
        </w:numPr>
        <w:spacing w:before="120" w:after="120" w:line="276" w:lineRule="auto"/>
        <w:ind w:left="1134" w:firstLine="0"/>
        <w:jc w:val="both"/>
        <w:rPr>
          <w:rFonts w:ascii="Arial" w:hAnsi="Arial" w:cs="Arial"/>
          <w:sz w:val="20"/>
        </w:rPr>
      </w:pPr>
      <w:r>
        <w:rPr>
          <w:rFonts w:ascii="Arial" w:hAnsi="Arial" w:cs="Arial"/>
          <w:b/>
          <w:sz w:val="20"/>
        </w:rPr>
        <w:t>Titular da empresa licitante</w:t>
      </w:r>
      <w:r>
        <w:rPr>
          <w:rFonts w:ascii="Arial" w:hAnsi="Arial" w:cs="Arial"/>
          <w:sz w:val="20"/>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w:t>
      </w:r>
      <w:r>
        <w:rPr>
          <w:rFonts w:ascii="Arial" w:hAnsi="Arial" w:cs="Arial"/>
          <w:color w:val="auto"/>
          <w:sz w:val="20"/>
          <w:highlight w:val="none"/>
        </w:rPr>
        <w:t>e ata de fundação e estatuto social em vigor, com a ata da assembleia que o aprovou, devidamente arquivado na Junta Comercial ou inscrito no Registro Civil das Pessoas Jurídicas da respectiva sede, no caso de sociedades cooperativas</w:t>
      </w:r>
      <w:r>
        <w:rPr>
          <w:rFonts w:ascii="Arial" w:hAnsi="Arial" w:cs="Arial"/>
          <w:sz w:val="20"/>
        </w:rPr>
        <w:t>; sendo que em tais documentos devem constar expressos poderes para exercerem direitos e assumir obrigações em decorrência de tal investidura;</w:t>
      </w:r>
    </w:p>
    <w:p>
      <w:pPr>
        <w:numPr>
          <w:ilvl w:val="2"/>
          <w:numId w:val="3"/>
        </w:numPr>
        <w:spacing w:before="120" w:after="120" w:line="276" w:lineRule="auto"/>
        <w:ind w:left="1134" w:firstLine="0"/>
        <w:jc w:val="both"/>
        <w:rPr>
          <w:rFonts w:ascii="Arial" w:hAnsi="Arial" w:cs="Arial"/>
          <w:sz w:val="20"/>
        </w:rPr>
      </w:pPr>
      <w:r>
        <w:rPr>
          <w:rFonts w:ascii="Arial" w:hAnsi="Arial" w:cs="Arial"/>
          <w:b/>
          <w:sz w:val="20"/>
        </w:rPr>
        <w:t>Representante designado pela empresa licitante</w:t>
      </w:r>
      <w:r>
        <w:rPr>
          <w:rFonts w:ascii="Arial" w:hAnsi="Arial" w:cs="Arial"/>
          <w:sz w:val="20"/>
        </w:rPr>
        <w:t xml:space="preserv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w:t>
      </w:r>
      <w:r>
        <w:rPr>
          <w:rFonts w:ascii="Arial" w:hAnsi="Arial" w:cs="Arial"/>
          <w:sz w:val="20"/>
          <w:highlight w:val="none"/>
        </w:rPr>
        <w:t>e ata de fundação e estatuto social em vigor, com a ata da assembleia que o aprovou, devidamente arquivado na Junta Comercial ou inscrito no Registro Civil das Pessoas Jurídicas da respectiva sede, no caso de sociedades cooperativas</w:t>
      </w:r>
      <w:r>
        <w:rPr>
          <w:rFonts w:ascii="Arial" w:hAnsi="Arial" w:cs="Arial"/>
          <w:sz w:val="20"/>
        </w:rPr>
        <w:t>;</w:t>
      </w:r>
    </w:p>
    <w:p>
      <w:pPr>
        <w:numPr>
          <w:ilvl w:val="1"/>
          <w:numId w:val="3"/>
        </w:numPr>
        <w:spacing w:before="120" w:after="120" w:line="276" w:lineRule="auto"/>
        <w:ind w:left="425" w:firstLine="0"/>
        <w:jc w:val="both"/>
        <w:rPr>
          <w:rFonts w:ascii="Arial" w:hAnsi="Arial" w:cs="Arial"/>
          <w:sz w:val="20"/>
        </w:rPr>
      </w:pPr>
      <w:r>
        <w:rPr>
          <w:rFonts w:ascii="Arial" w:hAnsi="Arial" w:cs="Arial"/>
          <w:sz w:val="20"/>
        </w:rPr>
        <w:t>Cada representante legal/credenciado deverá representar apenas uma empresa licitante.</w:t>
      </w:r>
    </w:p>
    <w:p>
      <w:pPr>
        <w:spacing w:before="120" w:after="120" w:line="276" w:lineRule="auto"/>
        <w:jc w:val="both"/>
        <w:rPr>
          <w:rFonts w:ascii="Arial" w:hAnsi="Arial" w:cs="Arial"/>
          <w:sz w:val="20"/>
        </w:rPr>
      </w:pPr>
    </w:p>
    <w:p>
      <w:pPr>
        <w:pStyle w:val="30"/>
        <w:numPr>
          <w:ilvl w:val="0"/>
          <w:numId w:val="3"/>
        </w:numPr>
        <w:spacing w:before="120" w:after="120"/>
        <w:contextualSpacing w:val="0"/>
        <w:jc w:val="both"/>
        <w:rPr>
          <w:rFonts w:ascii="Arial" w:hAnsi="Arial" w:cs="Arial"/>
          <w:b/>
          <w:sz w:val="20"/>
        </w:rPr>
      </w:pPr>
      <w:r>
        <w:rPr>
          <w:rFonts w:ascii="Arial" w:hAnsi="Arial" w:cs="Arial"/>
          <w:b/>
          <w:sz w:val="20"/>
        </w:rPr>
        <w:t>OBJETO</w:t>
      </w:r>
    </w:p>
    <w:p>
      <w:pPr>
        <w:pStyle w:val="30"/>
        <w:numPr>
          <w:ilvl w:val="1"/>
          <w:numId w:val="3"/>
        </w:numPr>
        <w:jc w:val="both"/>
        <w:rPr>
          <w:rFonts w:ascii="Arial" w:hAnsi="Arial" w:cs="Arial"/>
          <w:sz w:val="20"/>
        </w:rPr>
      </w:pPr>
      <w:r>
        <w:rPr>
          <w:rFonts w:ascii="Arial" w:hAnsi="Arial" w:cs="Arial"/>
          <w:sz w:val="20"/>
        </w:rPr>
        <w:t xml:space="preserve">O objeto da presente licitação é a escolha da proposta mais vantajosa para a </w:t>
      </w:r>
      <w:r>
        <w:rPr>
          <w:rFonts w:ascii="Arial" w:hAnsi="Arial" w:cs="Arial"/>
          <w:b/>
          <w:bCs/>
          <w:color w:val="auto"/>
          <w:sz w:val="20"/>
          <w:highlight w:val="none"/>
        </w:rPr>
        <w:t xml:space="preserve">contratação de  </w:t>
      </w:r>
      <w:r>
        <w:rPr>
          <w:rFonts w:hint="default" w:ascii="Arial" w:hAnsi="Arial" w:cs="Arial"/>
          <w:b/>
          <w:bCs/>
          <w:color w:val="auto"/>
          <w:sz w:val="20"/>
          <w:highlight w:val="none"/>
          <w:lang w:val="pt-BR"/>
        </w:rPr>
        <w:t>empresa especializada para construção de bloco de salas de aula para o ensino superior do IFMT Campus Confresa</w:t>
      </w:r>
      <w:r>
        <w:rPr>
          <w:rFonts w:ascii="Arial" w:hAnsi="Arial" w:cs="Arial"/>
          <w:color w:val="auto"/>
          <w:sz w:val="20"/>
          <w:highlight w:val="none"/>
        </w:rPr>
        <w:t>,</w:t>
      </w:r>
      <w:r>
        <w:rPr>
          <w:rFonts w:ascii="Arial" w:hAnsi="Arial" w:cs="Arial"/>
          <w:sz w:val="20"/>
        </w:rPr>
        <w:t xml:space="preserve"> conforme condições, quantidades e exigências estabelecidas neste Edital e seus anexos.</w:t>
      </w:r>
    </w:p>
    <w:p>
      <w:pPr>
        <w:pStyle w:val="30"/>
        <w:spacing w:before="100" w:beforeAutospacing="1" w:after="100" w:afterAutospacing="1" w:line="276" w:lineRule="auto"/>
        <w:ind w:left="1134" w:hanging="425"/>
        <w:jc w:val="both"/>
        <w:rPr>
          <w:rFonts w:ascii="Arial" w:hAnsi="Arial" w:cs="Arial"/>
          <w:color w:val="auto"/>
          <w:sz w:val="20"/>
          <w:u w:val="single"/>
        </w:rPr>
      </w:pPr>
    </w:p>
    <w:p>
      <w:pPr>
        <w:pStyle w:val="30"/>
        <w:tabs>
          <w:tab w:val="left" w:pos="567"/>
        </w:tabs>
        <w:spacing w:before="100" w:beforeAutospacing="1" w:after="100" w:afterAutospacing="1" w:line="276" w:lineRule="auto"/>
        <w:ind w:left="1134" w:hanging="425"/>
        <w:jc w:val="both"/>
        <w:rPr>
          <w:rFonts w:ascii="Arial" w:hAnsi="Arial" w:cs="Arial"/>
          <w:i/>
          <w:iCs/>
          <w:color w:val="auto"/>
          <w:sz w:val="20"/>
        </w:rPr>
      </w:pPr>
      <w:r>
        <w:rPr>
          <w:rFonts w:ascii="Arial" w:hAnsi="Arial" w:cs="Arial"/>
          <w:i/>
          <w:iCs/>
          <w:color w:val="auto"/>
          <w:sz w:val="20"/>
        </w:rPr>
        <w:t xml:space="preserve">4.2. A licitação será realizada em grupo único, formados por </w:t>
      </w:r>
      <w:r>
        <w:rPr>
          <w:rFonts w:hint="default" w:ascii="Arial" w:hAnsi="Arial" w:cs="Arial"/>
          <w:i/>
          <w:iCs/>
          <w:color w:val="auto"/>
          <w:sz w:val="20"/>
          <w:lang w:val="pt-BR"/>
        </w:rPr>
        <w:t>18</w:t>
      </w:r>
      <w:r>
        <w:rPr>
          <w:rFonts w:ascii="Arial" w:hAnsi="Arial" w:cs="Arial"/>
          <w:i/>
          <w:iCs/>
          <w:color w:val="auto"/>
          <w:sz w:val="20"/>
        </w:rPr>
        <w:t xml:space="preserve"> itens, conforme tabela constante no Projeto Básico devendo o licitante oferecer proposta para todos os itens que o compõem.</w:t>
      </w:r>
    </w:p>
    <w:p>
      <w:pPr>
        <w:pStyle w:val="30"/>
        <w:spacing w:before="100" w:beforeAutospacing="1" w:after="100" w:afterAutospacing="1" w:line="276" w:lineRule="auto"/>
        <w:ind w:left="1134" w:hanging="425"/>
        <w:jc w:val="both"/>
        <w:rPr>
          <w:rFonts w:ascii="Arial" w:hAnsi="Arial" w:cs="Arial"/>
          <w:i/>
          <w:iCs/>
          <w:color w:val="auto"/>
          <w:sz w:val="20"/>
        </w:rPr>
      </w:pPr>
      <w:r>
        <w:rPr>
          <w:rFonts w:ascii="Arial" w:hAnsi="Arial" w:cs="Arial"/>
          <w:i/>
          <w:iCs/>
          <w:color w:val="FF0000"/>
          <w:sz w:val="20"/>
        </w:rPr>
        <w:t xml:space="preserve">. </w:t>
      </w:r>
      <w:r>
        <w:rPr>
          <w:rFonts w:ascii="Arial" w:hAnsi="Arial" w:cs="Arial"/>
          <w:i/>
          <w:iCs/>
          <w:color w:val="auto"/>
          <w:sz w:val="20"/>
        </w:rPr>
        <w:t>4.3. O critério de julgamento adotado será o menor preço GLOBAL do grupo, observadas as exigências contidas neste Edital e seus Anexos quanto às especificações do objeto.</w:t>
      </w:r>
    </w:p>
    <w:p>
      <w:pPr>
        <w:spacing w:before="120" w:after="120"/>
        <w:rPr>
          <w:rFonts w:ascii="Arial" w:hAnsi="Arial" w:cs="Arial"/>
          <w:sz w:val="20"/>
          <w:lang w:eastAsia="en-US"/>
        </w:rPr>
      </w:pPr>
    </w:p>
    <w:p>
      <w:pPr>
        <w:pStyle w:val="30"/>
        <w:widowControl/>
        <w:numPr>
          <w:ilvl w:val="0"/>
          <w:numId w:val="4"/>
        </w:numPr>
        <w:suppressAutoHyphens w:val="0"/>
        <w:spacing w:before="120" w:after="120" w:line="276" w:lineRule="auto"/>
        <w:jc w:val="both"/>
        <w:rPr>
          <w:rFonts w:ascii="Arial" w:hAnsi="Arial" w:cs="Arial"/>
          <w:b/>
          <w:color w:val="000000"/>
          <w:sz w:val="20"/>
        </w:rPr>
      </w:pPr>
      <w:r>
        <w:rPr>
          <w:rFonts w:ascii="Arial" w:hAnsi="Arial" w:cs="Arial"/>
          <w:b/>
          <w:color w:val="000000"/>
          <w:sz w:val="20"/>
        </w:rPr>
        <w:t>DOS RECURSOS ORÇAMENTÁRIOS</w:t>
      </w:r>
    </w:p>
    <w:p>
      <w:pPr>
        <w:widowControl/>
        <w:numPr>
          <w:ilvl w:val="1"/>
          <w:numId w:val="4"/>
        </w:numPr>
        <w:suppressAutoHyphens w:val="0"/>
        <w:spacing w:before="120" w:after="120" w:line="276" w:lineRule="auto"/>
        <w:jc w:val="both"/>
        <w:rPr>
          <w:rFonts w:ascii="Arial" w:hAnsi="Arial" w:cs="Arial"/>
          <w:color w:val="000000"/>
          <w:sz w:val="20"/>
        </w:rPr>
      </w:pPr>
      <w:r>
        <w:rPr>
          <w:rFonts w:ascii="Arial" w:hAnsi="Arial" w:cs="Arial"/>
          <w:color w:val="000000"/>
          <w:sz w:val="20"/>
        </w:rPr>
        <w:t xml:space="preserve">As despesas para atender a esta licitação estão programadas em dotação orçamentária </w:t>
      </w:r>
      <w:r>
        <w:rPr>
          <w:rFonts w:ascii="Arial" w:hAnsi="Arial" w:cs="Arial"/>
          <w:sz w:val="20"/>
        </w:rPr>
        <w:t>própria</w:t>
      </w:r>
      <w:r>
        <w:rPr>
          <w:rFonts w:ascii="Arial" w:hAnsi="Arial" w:cs="Arial"/>
          <w:color w:val="000000"/>
          <w:sz w:val="20"/>
        </w:rPr>
        <w:t>, prevista no orçamento da União para o exercí</w:t>
      </w:r>
      <w:r>
        <w:rPr>
          <w:rFonts w:ascii="Arial" w:hAnsi="Arial" w:cs="Arial"/>
          <w:color w:val="auto"/>
          <w:sz w:val="20"/>
        </w:rPr>
        <w:t>cio de 20</w:t>
      </w:r>
      <w:r>
        <w:rPr>
          <w:rFonts w:hint="default" w:ascii="Arial" w:hAnsi="Arial" w:cs="Arial"/>
          <w:color w:val="auto"/>
          <w:sz w:val="20"/>
          <w:lang w:val="pt-BR"/>
        </w:rPr>
        <w:t>20</w:t>
      </w:r>
      <w:r>
        <w:rPr>
          <w:rFonts w:ascii="Arial" w:hAnsi="Arial" w:cs="Arial"/>
          <w:color w:val="auto"/>
          <w:sz w:val="20"/>
        </w:rPr>
        <w:t>, n</w:t>
      </w:r>
      <w:r>
        <w:rPr>
          <w:rFonts w:ascii="Arial" w:hAnsi="Arial" w:cs="Arial"/>
          <w:color w:val="000000"/>
          <w:sz w:val="20"/>
        </w:rPr>
        <w:t>a classificação abaixo:</w:t>
      </w:r>
    </w:p>
    <w:p>
      <w:pPr>
        <w:numPr>
          <w:ilvl w:val="2"/>
          <w:numId w:val="4"/>
        </w:numPr>
        <w:tabs>
          <w:tab w:val="left" w:pos="1560"/>
        </w:tabs>
        <w:spacing w:before="120" w:after="120" w:line="276" w:lineRule="auto"/>
        <w:ind w:left="1134" w:firstLine="0"/>
        <w:jc w:val="both"/>
        <w:rPr>
          <w:rFonts w:ascii="Arial" w:hAnsi="Arial" w:cs="Arial"/>
          <w:color w:val="auto"/>
          <w:sz w:val="20"/>
        </w:rPr>
      </w:pPr>
      <w:r>
        <w:rPr>
          <w:rFonts w:ascii="Arial" w:hAnsi="Arial" w:cs="Arial"/>
          <w:color w:val="auto"/>
          <w:sz w:val="20"/>
          <w:lang w:eastAsia="en-US"/>
        </w:rPr>
        <w:t xml:space="preserve">Gestão/Unidade:  </w:t>
      </w:r>
      <w:r>
        <w:rPr>
          <w:rFonts w:ascii="sans-serif" w:hAnsi="sans-serif" w:eastAsia="sans-serif" w:cs="sans-serif"/>
          <w:i w:val="0"/>
          <w:caps w:val="0"/>
          <w:color w:val="auto"/>
          <w:spacing w:val="0"/>
          <w:sz w:val="21"/>
          <w:szCs w:val="21"/>
          <w:shd w:val="clear" w:fill="F8F9FA"/>
        </w:rPr>
        <w:t>26414/158496</w:t>
      </w:r>
    </w:p>
    <w:p>
      <w:pPr>
        <w:numPr>
          <w:ilvl w:val="2"/>
          <w:numId w:val="4"/>
        </w:numPr>
        <w:tabs>
          <w:tab w:val="left" w:pos="1560"/>
        </w:tabs>
        <w:spacing w:before="120" w:after="120" w:line="276" w:lineRule="auto"/>
        <w:ind w:left="1134" w:firstLine="0"/>
        <w:jc w:val="both"/>
        <w:rPr>
          <w:rFonts w:ascii="Arial" w:hAnsi="Arial" w:cs="Arial"/>
          <w:color w:val="auto"/>
          <w:sz w:val="20"/>
        </w:rPr>
      </w:pPr>
      <w:r>
        <w:rPr>
          <w:rFonts w:ascii="Arial" w:hAnsi="Arial" w:cs="Arial"/>
          <w:color w:val="auto"/>
          <w:sz w:val="20"/>
          <w:lang w:eastAsia="en-US"/>
        </w:rPr>
        <w:t xml:space="preserve">Fonte: </w:t>
      </w:r>
      <w:r>
        <w:rPr>
          <w:rFonts w:ascii="sans-serif" w:hAnsi="sans-serif" w:eastAsia="sans-serif" w:cs="sans-serif"/>
          <w:i w:val="0"/>
          <w:caps w:val="0"/>
          <w:color w:val="auto"/>
          <w:spacing w:val="0"/>
          <w:sz w:val="21"/>
          <w:szCs w:val="21"/>
          <w:shd w:val="clear" w:fill="F8F9FA"/>
        </w:rPr>
        <w:t>81</w:t>
      </w:r>
      <w:r>
        <w:rPr>
          <w:rFonts w:hint="default" w:ascii="sans-serif" w:hAnsi="sans-serif" w:eastAsia="sans-serif" w:cs="sans-serif"/>
          <w:i w:val="0"/>
          <w:caps w:val="0"/>
          <w:color w:val="auto"/>
          <w:spacing w:val="0"/>
          <w:sz w:val="21"/>
          <w:szCs w:val="21"/>
          <w:shd w:val="clear" w:fill="F8F9FA"/>
          <w:lang w:val="pt-BR"/>
        </w:rPr>
        <w:t>00000000</w:t>
      </w:r>
    </w:p>
    <w:p>
      <w:pPr>
        <w:numPr>
          <w:ilvl w:val="2"/>
          <w:numId w:val="4"/>
        </w:numPr>
        <w:tabs>
          <w:tab w:val="left" w:pos="1560"/>
        </w:tabs>
        <w:spacing w:before="120" w:after="120" w:line="276" w:lineRule="auto"/>
        <w:ind w:left="1134" w:firstLine="0"/>
        <w:jc w:val="both"/>
        <w:rPr>
          <w:rFonts w:ascii="Arial" w:hAnsi="Arial" w:cs="Arial"/>
          <w:color w:val="auto"/>
          <w:sz w:val="20"/>
        </w:rPr>
      </w:pPr>
      <w:r>
        <w:rPr>
          <w:rFonts w:ascii="Arial" w:hAnsi="Arial" w:cs="Arial"/>
          <w:color w:val="auto"/>
          <w:sz w:val="20"/>
          <w:lang w:eastAsia="en-US"/>
        </w:rPr>
        <w:t xml:space="preserve">Programa de Trabalho: </w:t>
      </w:r>
      <w:r>
        <w:rPr>
          <w:rFonts w:ascii="sans-serif" w:hAnsi="sans-serif" w:eastAsia="sans-serif" w:cs="sans-serif"/>
          <w:i w:val="0"/>
          <w:caps w:val="0"/>
          <w:color w:val="auto"/>
          <w:spacing w:val="0"/>
          <w:sz w:val="21"/>
          <w:szCs w:val="21"/>
          <w:shd w:val="clear" w:fill="F8F9FA"/>
        </w:rPr>
        <w:t>171008</w:t>
      </w:r>
      <w:r>
        <w:rPr>
          <w:rFonts w:ascii="Arial" w:hAnsi="Arial" w:cs="Arial"/>
          <w:color w:val="auto"/>
          <w:sz w:val="20"/>
          <w:lang w:eastAsia="en-US"/>
        </w:rPr>
        <w:t xml:space="preserve"> </w:t>
      </w:r>
    </w:p>
    <w:p>
      <w:pPr>
        <w:numPr>
          <w:ilvl w:val="2"/>
          <w:numId w:val="4"/>
        </w:numPr>
        <w:tabs>
          <w:tab w:val="left" w:pos="1560"/>
        </w:tabs>
        <w:spacing w:before="120" w:after="120" w:line="276" w:lineRule="auto"/>
        <w:ind w:left="1134" w:firstLine="0"/>
        <w:jc w:val="both"/>
        <w:rPr>
          <w:rFonts w:ascii="Arial" w:hAnsi="Arial" w:cs="Arial"/>
          <w:color w:val="auto"/>
          <w:sz w:val="20"/>
        </w:rPr>
      </w:pPr>
      <w:r>
        <w:rPr>
          <w:rFonts w:ascii="Arial" w:hAnsi="Arial" w:cs="Arial"/>
          <w:color w:val="auto"/>
          <w:sz w:val="20"/>
          <w:lang w:eastAsia="en-US"/>
        </w:rPr>
        <w:t xml:space="preserve">Elemento de Despesa:  </w:t>
      </w:r>
      <w:r>
        <w:rPr>
          <w:rFonts w:ascii="sans-serif" w:hAnsi="sans-serif" w:eastAsia="sans-serif" w:cs="sans-serif"/>
          <w:i w:val="0"/>
          <w:caps w:val="0"/>
          <w:color w:val="auto"/>
          <w:spacing w:val="0"/>
          <w:sz w:val="21"/>
          <w:szCs w:val="21"/>
          <w:shd w:val="clear" w:fill="F8F9FA"/>
        </w:rPr>
        <w:t>449051</w:t>
      </w:r>
    </w:p>
    <w:p>
      <w:pPr>
        <w:spacing w:after="120" w:line="276" w:lineRule="auto"/>
        <w:ind w:left="792"/>
        <w:jc w:val="both"/>
        <w:rPr>
          <w:rFonts w:ascii="Arial" w:hAnsi="Arial" w:cs="Arial"/>
          <w:color w:val="000000"/>
          <w:sz w:val="20"/>
        </w:rPr>
      </w:pPr>
    </w:p>
    <w:p>
      <w:pPr>
        <w:widowControl/>
        <w:numPr>
          <w:ilvl w:val="0"/>
          <w:numId w:val="4"/>
        </w:numPr>
        <w:suppressAutoHyphens w:val="0"/>
        <w:spacing w:before="120" w:after="120" w:line="276" w:lineRule="auto"/>
        <w:ind w:left="0" w:firstLine="0"/>
        <w:jc w:val="both"/>
        <w:rPr>
          <w:rFonts w:ascii="Arial" w:hAnsi="Arial" w:cs="Arial"/>
          <w:b/>
          <w:color w:val="000000"/>
          <w:sz w:val="20"/>
          <w:lang w:eastAsia="en-US"/>
        </w:rPr>
      </w:pPr>
      <w:r>
        <w:rPr>
          <w:rFonts w:ascii="Arial" w:hAnsi="Arial" w:cs="Arial"/>
          <w:b/>
          <w:color w:val="000000"/>
          <w:sz w:val="20"/>
          <w:lang w:eastAsia="en-US"/>
        </w:rPr>
        <w:t>DA PARTICIPAÇÃO NA LICITAÇÃO</w:t>
      </w:r>
    </w:p>
    <w:p>
      <w:pPr>
        <w:pStyle w:val="30"/>
        <w:numPr>
          <w:ilvl w:val="1"/>
          <w:numId w:val="4"/>
        </w:numPr>
        <w:spacing w:before="120" w:after="120" w:line="276" w:lineRule="auto"/>
        <w:contextualSpacing w:val="0"/>
        <w:jc w:val="both"/>
        <w:rPr>
          <w:rFonts w:ascii="Arial" w:hAnsi="Arial" w:cs="Arial"/>
          <w:bCs/>
          <w:color w:val="000000"/>
          <w:sz w:val="20"/>
        </w:rPr>
      </w:pPr>
      <w:r>
        <w:rPr>
          <w:rFonts w:ascii="Arial" w:hAnsi="Arial" w:cs="Arial"/>
          <w:bCs/>
          <w:color w:val="000000"/>
          <w:sz w:val="20"/>
        </w:rPr>
        <w:t xml:space="preserve">Poderão participar desta licitação, os interessados cujo ramo de atividade seja compatível com o objeto desta licitação </w:t>
      </w:r>
    </w:p>
    <w:p>
      <w:pPr>
        <w:pStyle w:val="30"/>
        <w:widowControl/>
        <w:numPr>
          <w:ilvl w:val="1"/>
          <w:numId w:val="4"/>
        </w:numPr>
        <w:suppressAutoHyphens w:val="0"/>
        <w:spacing w:before="120" w:after="120" w:line="276" w:lineRule="auto"/>
        <w:ind w:left="425" w:firstLine="0"/>
        <w:contextualSpacing w:val="0"/>
        <w:jc w:val="both"/>
        <w:rPr>
          <w:rFonts w:ascii="Arial" w:hAnsi="Arial" w:cs="Arial"/>
          <w:bCs/>
          <w:color w:val="000000"/>
          <w:sz w:val="20"/>
        </w:rPr>
      </w:pPr>
      <w:r>
        <w:rPr>
          <w:rFonts w:ascii="Arial" w:hAnsi="Arial" w:cs="Arial"/>
          <w:bCs/>
          <w:color w:val="000000"/>
          <w:sz w:val="20"/>
        </w:rPr>
        <w:t>Não poderão participar desta licitação:</w:t>
      </w:r>
    </w:p>
    <w:p>
      <w:pPr>
        <w:pStyle w:val="30"/>
        <w:widowControl/>
        <w:numPr>
          <w:ilvl w:val="2"/>
          <w:numId w:val="4"/>
        </w:numPr>
        <w:suppressAutoHyphens w:val="0"/>
        <w:spacing w:before="120" w:after="120" w:line="276" w:lineRule="auto"/>
        <w:ind w:left="1134" w:firstLine="0"/>
        <w:contextualSpacing w:val="0"/>
        <w:jc w:val="both"/>
        <w:rPr>
          <w:rStyle w:val="31"/>
          <w:rFonts w:eastAsia="Zurich BT"/>
          <w:bCs/>
          <w:color w:val="000000"/>
        </w:rPr>
      </w:pPr>
      <w:r>
        <w:rPr>
          <w:rFonts w:ascii="Arial" w:hAnsi="Arial" w:cs="Arial"/>
          <w:bCs/>
          <w:color w:val="000000"/>
          <w:sz w:val="20"/>
        </w:rPr>
        <w:t>proibidos de participar de licitações e celebrar contratos administrativos, na forma da legislação vigente</w:t>
      </w:r>
      <w:r>
        <w:rPr>
          <w:rStyle w:val="31"/>
        </w:rPr>
        <w:t>;</w:t>
      </w:r>
    </w:p>
    <w:p>
      <w:pPr>
        <w:pStyle w:val="30"/>
        <w:widowControl/>
        <w:numPr>
          <w:ilvl w:val="2"/>
          <w:numId w:val="4"/>
        </w:numPr>
        <w:suppressAutoHyphens w:val="0"/>
        <w:spacing w:before="120" w:after="120" w:line="276" w:lineRule="auto"/>
        <w:ind w:left="1134" w:firstLine="0"/>
        <w:contextualSpacing w:val="0"/>
        <w:jc w:val="both"/>
        <w:rPr>
          <w:rStyle w:val="31"/>
          <w:rFonts w:eastAsia="Zurich BT"/>
          <w:bCs/>
          <w:color w:val="000000"/>
        </w:rPr>
      </w:pPr>
      <w:r>
        <w:rPr>
          <w:rStyle w:val="31"/>
          <w:rFonts w:eastAsia="Zurich BT"/>
          <w:bCs/>
          <w:color w:val="000000"/>
        </w:rPr>
        <w:t>que não atendam às condições destes Edital e seus anexos;</w:t>
      </w:r>
    </w:p>
    <w:p>
      <w:pPr>
        <w:pStyle w:val="30"/>
        <w:widowControl/>
        <w:numPr>
          <w:ilvl w:val="2"/>
          <w:numId w:val="4"/>
        </w:numPr>
        <w:suppressAutoHyphens w:val="0"/>
        <w:spacing w:before="120" w:after="120" w:line="276" w:lineRule="auto"/>
        <w:ind w:left="1134" w:firstLine="0"/>
        <w:contextualSpacing w:val="0"/>
        <w:jc w:val="both"/>
        <w:rPr>
          <w:rFonts w:ascii="Arial" w:hAnsi="Arial" w:eastAsia="Zurich BT" w:cs="Arial"/>
          <w:bCs/>
          <w:color w:val="000000"/>
          <w:sz w:val="20"/>
        </w:rPr>
      </w:pPr>
      <w:r>
        <w:rPr>
          <w:rFonts w:ascii="Arial" w:hAnsi="Arial" w:cs="Arial"/>
          <w:bCs/>
          <w:color w:val="000000"/>
          <w:sz w:val="20"/>
        </w:rPr>
        <w:t xml:space="preserve">estrangeiros que não tenham representação legal no Brasil com poderes expressos para receber citação e responder administrativa ou judicialmente; </w:t>
      </w:r>
    </w:p>
    <w:p>
      <w:pPr>
        <w:pStyle w:val="46"/>
        <w:keepNext w:val="0"/>
        <w:widowControl/>
        <w:numPr>
          <w:ilvl w:val="2"/>
          <w:numId w:val="4"/>
        </w:numPr>
        <w:spacing w:before="120" w:after="120"/>
        <w:ind w:left="1134" w:firstLine="0"/>
        <w:rPr>
          <w:rFonts w:ascii="Arial" w:hAnsi="Arial" w:cs="Arial"/>
          <w:szCs w:val="20"/>
        </w:rPr>
      </w:pPr>
      <w:r>
        <w:rPr>
          <w:rFonts w:ascii="Arial" w:hAnsi="Arial" w:eastAsia="Arial Unicode MS" w:cs="Arial"/>
          <w:color w:val="000000" w:themeColor="text1"/>
          <w:szCs w:val="20"/>
          <w14:textFill>
            <w14:solidFill>
              <w14:schemeClr w14:val="tx1"/>
            </w14:solidFill>
          </w14:textFill>
        </w:rPr>
        <w:t>que se enquadrem nas vedações previstas no artigo 9º da Lei nº 8.666, de 1993;</w:t>
      </w:r>
    </w:p>
    <w:p>
      <w:pPr>
        <w:pStyle w:val="46"/>
        <w:keepNext w:val="0"/>
        <w:widowControl/>
        <w:numPr>
          <w:ilvl w:val="2"/>
          <w:numId w:val="4"/>
        </w:numPr>
        <w:spacing w:before="120" w:after="120"/>
        <w:ind w:left="1134" w:firstLine="0"/>
        <w:rPr>
          <w:rFonts w:ascii="Arial" w:hAnsi="Arial" w:cs="Arial"/>
          <w:szCs w:val="20"/>
        </w:rPr>
      </w:pPr>
      <w:r>
        <w:rPr>
          <w:rFonts w:ascii="Arial" w:hAnsi="Arial" w:cs="Arial"/>
          <w:szCs w:val="20"/>
        </w:rPr>
        <w:t>que estejam sob falência, concurso de credores, concordata ou insolvência, em processo de dissolução ou liquidação;</w:t>
      </w:r>
    </w:p>
    <w:p>
      <w:pPr>
        <w:pStyle w:val="30"/>
        <w:widowControl/>
        <w:numPr>
          <w:ilvl w:val="2"/>
          <w:numId w:val="4"/>
        </w:numPr>
        <w:suppressAutoHyphens w:val="0"/>
        <w:spacing w:before="120" w:after="120" w:line="276" w:lineRule="auto"/>
        <w:ind w:left="1134" w:firstLine="0"/>
        <w:contextualSpacing w:val="0"/>
        <w:jc w:val="both"/>
        <w:rPr>
          <w:rFonts w:ascii="Arial" w:hAnsi="Arial" w:eastAsia="Zurich BT" w:cs="Arial"/>
          <w:bCs/>
          <w:color w:val="000000"/>
          <w:sz w:val="20"/>
        </w:rPr>
      </w:pPr>
      <w:r>
        <w:rPr>
          <w:rFonts w:ascii="Arial" w:hAnsi="Arial" w:eastAsia="Zurich BT" w:cs="Arial"/>
          <w:bCs/>
          <w:color w:val="000000"/>
          <w:sz w:val="20"/>
        </w:rPr>
        <w:t xml:space="preserve">organizações da Sociedade Civil de Interesse Público - OSCIP, atuando nessa condição (Acórdão nº 746/2014-TCU-Plenário);  </w:t>
      </w:r>
    </w:p>
    <w:p>
      <w:pPr>
        <w:pStyle w:val="46"/>
        <w:numPr>
          <w:ilvl w:val="1"/>
          <w:numId w:val="4"/>
        </w:numPr>
        <w:shd w:val="clear" w:fill="FFFFFF" w:themeFill="background1"/>
        <w:tabs>
          <w:tab w:val="left" w:pos="1440"/>
        </w:tabs>
        <w:autoSpaceDE w:val="0"/>
        <w:snapToGrid w:val="0"/>
        <w:spacing w:before="120" w:after="120"/>
        <w:ind w:left="425" w:leftChars="0" w:firstLine="0" w:firstLineChars="0"/>
        <w:rPr>
          <w:rFonts w:ascii="Arial" w:hAnsi="Arial" w:cs="Arial"/>
          <w:i/>
          <w:iCs/>
          <w:color w:val="auto"/>
          <w:szCs w:val="20"/>
          <w:highlight w:val="none"/>
        </w:rPr>
      </w:pPr>
      <w:r>
        <w:rPr>
          <w:rFonts w:ascii="Arial" w:hAnsi="Arial" w:cs="Arial"/>
          <w:i/>
          <w:iCs/>
          <w:color w:val="auto"/>
          <w:szCs w:val="20"/>
          <w:highlight w:val="none"/>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pPr>
        <w:pStyle w:val="46"/>
        <w:numPr>
          <w:ilvl w:val="2"/>
          <w:numId w:val="5"/>
        </w:numPr>
        <w:shd w:val="clear" w:fill="FFFFFF" w:themeFill="background1"/>
        <w:tabs>
          <w:tab w:val="left" w:pos="1440"/>
        </w:tabs>
        <w:autoSpaceDE w:val="0"/>
        <w:snapToGrid w:val="0"/>
        <w:spacing w:before="120" w:after="120"/>
        <w:ind w:left="1134" w:firstLine="0"/>
        <w:rPr>
          <w:rFonts w:ascii="Arial" w:hAnsi="Arial" w:cs="Arial"/>
          <w:i/>
          <w:iCs/>
          <w:color w:val="auto"/>
          <w:szCs w:val="20"/>
          <w:highlight w:val="none"/>
        </w:rPr>
      </w:pPr>
      <w:r>
        <w:rPr>
          <w:rFonts w:ascii="Arial" w:hAnsi="Arial" w:cs="Arial"/>
          <w:i/>
          <w:iCs/>
          <w:color w:val="auto"/>
          <w:szCs w:val="20"/>
          <w:highlight w:val="none"/>
        </w:rPr>
        <w:t>Em sendo permitida a participação de cooperativas, serão estendidas a elas os benefícios previstos para as microempresas e empresas de pequeno porte quando elas atenderem ao disposto no art. 34 da Lei nº 11.488, de 15 de junho de 2007.</w:t>
      </w:r>
    </w:p>
    <w:p>
      <w:pPr>
        <w:pStyle w:val="30"/>
        <w:widowControl/>
        <w:numPr>
          <w:ilvl w:val="1"/>
          <w:numId w:val="4"/>
        </w:numPr>
        <w:suppressAutoHyphens w:val="0"/>
        <w:spacing w:before="120" w:after="120" w:line="276" w:lineRule="auto"/>
        <w:ind w:left="425" w:firstLine="0"/>
        <w:contextualSpacing w:val="0"/>
        <w:jc w:val="both"/>
        <w:rPr>
          <w:rFonts w:ascii="Arial" w:hAnsi="Arial" w:cs="Arial"/>
          <w:sz w:val="20"/>
        </w:rPr>
      </w:pPr>
      <w:r>
        <w:rPr>
          <w:rFonts w:ascii="Arial" w:hAnsi="Arial" w:cs="Arial"/>
          <w:color w:val="000000"/>
          <w:sz w:val="20"/>
        </w:rPr>
        <w:t>Nos</w:t>
      </w:r>
      <w:r>
        <w:rPr>
          <w:rFonts w:ascii="Arial" w:hAnsi="Arial" w:cs="Arial"/>
          <w:color w:val="000000"/>
          <w:sz w:val="20"/>
          <w:shd w:val="clear" w:color="auto" w:fill="FFFFFF"/>
        </w:rPr>
        <w:t xml:space="preserve"> termos do art. 5º do Decreto nº 9.507, de 2018, é vedada a contratação de </w:t>
      </w:r>
      <w:r>
        <w:rPr>
          <w:rFonts w:ascii="Arial" w:hAnsi="Arial" w:cs="Arial"/>
          <w:sz w:val="20"/>
        </w:rPr>
        <w:t>pessoa</w:t>
      </w:r>
      <w:r>
        <w:rPr>
          <w:rFonts w:ascii="Arial" w:hAnsi="Arial" w:cs="Arial"/>
          <w:sz w:val="20"/>
          <w:shd w:val="clear" w:color="auto" w:fill="FFFFFF"/>
        </w:rPr>
        <w:t xml:space="preserve"> jurídica na qual haja administrador ou sócio com poder de direção, familiar de:</w:t>
      </w:r>
    </w:p>
    <w:p>
      <w:pPr>
        <w:pStyle w:val="30"/>
        <w:widowControl/>
        <w:numPr>
          <w:ilvl w:val="2"/>
          <w:numId w:val="4"/>
        </w:numPr>
        <w:suppressAutoHyphens w:val="0"/>
        <w:spacing w:before="120" w:after="120" w:line="276" w:lineRule="auto"/>
        <w:contextualSpacing w:val="0"/>
        <w:jc w:val="both"/>
        <w:rPr>
          <w:rFonts w:ascii="Arial" w:hAnsi="Arial" w:cs="Arial"/>
          <w:sz w:val="20"/>
        </w:rPr>
      </w:pPr>
      <w:r>
        <w:rPr>
          <w:rFonts w:ascii="Arial" w:hAnsi="Arial" w:cs="Arial"/>
          <w:sz w:val="20"/>
          <w:shd w:val="clear" w:color="auto" w:fill="FFFFFF"/>
        </w:rPr>
        <w:t xml:space="preserve"> Para os fins do disposto neste item</w:t>
      </w:r>
      <w:r>
        <w:rPr>
          <w:rFonts w:ascii="Arial" w:hAnsi="Arial" w:cs="Arial"/>
          <w:i/>
          <w:iCs/>
          <w:sz w:val="20"/>
          <w:shd w:val="clear" w:color="auto" w:fill="FFFFFF"/>
        </w:rPr>
        <w:t>,</w:t>
      </w:r>
      <w:r>
        <w:rPr>
          <w:rFonts w:ascii="Arial" w:hAnsi="Arial" w:cs="Arial"/>
          <w:sz w:val="20"/>
          <w:shd w:val="clear" w:color="auto" w:fill="FFFFFF"/>
        </w:rPr>
        <w:t xml:space="preserve"> considera-se familiar o cônjuge, o companheiro ou o parente em linha reta ou colateral, por consanguinidade ou afinidade, até o </w:t>
      </w:r>
      <w:r>
        <w:rPr>
          <w:rFonts w:ascii="Arial" w:hAnsi="Arial" w:cs="Arial"/>
          <w:color w:val="000000"/>
          <w:sz w:val="20"/>
          <w:shd w:val="clear" w:color="auto" w:fill="FFFFFF"/>
        </w:rPr>
        <w:t>terceiro grau (Súmula Vinculante/STF nº 13, art. 5º, inciso V, da Lei nº 12.813, de 16 de maio de 2013 e art. 2º, inciso III, do Decreto n.º 7.203, de 04 de junho de 2010);</w:t>
      </w:r>
    </w:p>
    <w:p>
      <w:pPr>
        <w:pStyle w:val="54"/>
        <w:numPr>
          <w:ilvl w:val="0"/>
          <w:numId w:val="6"/>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r>
        <w:rPr>
          <w:rFonts w:ascii="Arial" w:hAnsi="Arial" w:cs="Arial"/>
          <w:sz w:val="20"/>
          <w:szCs w:val="20"/>
          <w:shd w:val="clear" w:color="auto" w:fill="FFFFFF"/>
        </w:rPr>
        <w:t>detentor de cargo em comissão ou função de confiança que atue na área responsável pela demanda ou contratação; ou</w:t>
      </w:r>
    </w:p>
    <w:p>
      <w:pPr>
        <w:pStyle w:val="54"/>
        <w:numPr>
          <w:ilvl w:val="0"/>
          <w:numId w:val="6"/>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r>
        <w:rPr>
          <w:rFonts w:ascii="Arial" w:hAnsi="Arial" w:cs="Arial"/>
          <w:sz w:val="20"/>
          <w:szCs w:val="20"/>
          <w:shd w:val="clear" w:color="auto" w:fill="FFFFFF"/>
        </w:rPr>
        <w:t>de autoridade hierarquicamente superior no âmbito do órgão contratante.</w:t>
      </w:r>
    </w:p>
    <w:p>
      <w:pPr>
        <w:pStyle w:val="30"/>
        <w:widowControl/>
        <w:numPr>
          <w:ilvl w:val="0"/>
          <w:numId w:val="7"/>
        </w:numPr>
        <w:shd w:val="clear" w:color="auto" w:fill="FFFFFF" w:themeFill="background1"/>
        <w:suppressAutoHyphens w:val="0"/>
        <w:spacing w:before="119" w:after="119" w:line="276" w:lineRule="auto"/>
        <w:contextualSpacing w:val="0"/>
        <w:jc w:val="both"/>
        <w:rPr>
          <w:rFonts w:ascii="Arial" w:hAnsi="Arial" w:eastAsia="Times New Roman" w:cs="Arial"/>
          <w:vanish/>
          <w:sz w:val="20"/>
          <w:shd w:val="clear" w:color="auto" w:fill="FFFFFF"/>
        </w:rPr>
      </w:pPr>
    </w:p>
    <w:p>
      <w:pPr>
        <w:pStyle w:val="30"/>
        <w:widowControl/>
        <w:numPr>
          <w:ilvl w:val="0"/>
          <w:numId w:val="7"/>
        </w:numPr>
        <w:shd w:val="clear" w:color="auto" w:fill="FFFFFF" w:themeFill="background1"/>
        <w:suppressAutoHyphens w:val="0"/>
        <w:spacing w:before="119" w:after="119" w:line="276" w:lineRule="auto"/>
        <w:contextualSpacing w:val="0"/>
        <w:jc w:val="both"/>
        <w:rPr>
          <w:rFonts w:ascii="Arial" w:hAnsi="Arial" w:eastAsia="Times New Roman" w:cs="Arial"/>
          <w:vanish/>
          <w:sz w:val="20"/>
          <w:shd w:val="clear" w:color="auto" w:fill="FFFFFF"/>
        </w:rPr>
      </w:pPr>
    </w:p>
    <w:p>
      <w:pPr>
        <w:pStyle w:val="30"/>
        <w:widowControl/>
        <w:numPr>
          <w:ilvl w:val="0"/>
          <w:numId w:val="7"/>
        </w:numPr>
        <w:shd w:val="clear" w:color="auto" w:fill="FFFFFF" w:themeFill="background1"/>
        <w:suppressAutoHyphens w:val="0"/>
        <w:spacing w:before="119" w:after="119" w:line="276" w:lineRule="auto"/>
        <w:contextualSpacing w:val="0"/>
        <w:jc w:val="both"/>
        <w:rPr>
          <w:rFonts w:ascii="Arial" w:hAnsi="Arial" w:eastAsia="Times New Roman" w:cs="Arial"/>
          <w:vanish/>
          <w:sz w:val="20"/>
          <w:shd w:val="clear" w:color="auto" w:fill="FFFFFF"/>
        </w:rPr>
      </w:pPr>
    </w:p>
    <w:p>
      <w:pPr>
        <w:pStyle w:val="30"/>
        <w:widowControl/>
        <w:numPr>
          <w:ilvl w:val="1"/>
          <w:numId w:val="7"/>
        </w:numPr>
        <w:shd w:val="clear" w:color="auto" w:fill="FFFFFF" w:themeFill="background1"/>
        <w:suppressAutoHyphens w:val="0"/>
        <w:spacing w:before="119" w:after="119" w:line="276" w:lineRule="auto"/>
        <w:contextualSpacing w:val="0"/>
        <w:jc w:val="both"/>
        <w:rPr>
          <w:rFonts w:ascii="Arial" w:hAnsi="Arial" w:eastAsia="Times New Roman" w:cs="Arial"/>
          <w:vanish/>
          <w:sz w:val="20"/>
          <w:shd w:val="clear" w:color="auto" w:fill="FFFFFF"/>
        </w:rPr>
      </w:pPr>
    </w:p>
    <w:p>
      <w:pPr>
        <w:pStyle w:val="30"/>
        <w:keepNext/>
        <w:keepLines/>
        <w:widowControl/>
        <w:numPr>
          <w:ilvl w:val="0"/>
          <w:numId w:val="2"/>
        </w:numPr>
        <w:tabs>
          <w:tab w:val="left" w:pos="420"/>
          <w:tab w:val="left" w:pos="567"/>
        </w:tabs>
        <w:suppressAutoHyphens w:val="0"/>
        <w:spacing w:before="240"/>
        <w:ind w:left="0" w:firstLine="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0"/>
          <w:numId w:val="2"/>
        </w:numPr>
        <w:tabs>
          <w:tab w:val="left" w:pos="420"/>
          <w:tab w:val="left" w:pos="567"/>
        </w:tabs>
        <w:suppressAutoHyphens w:val="0"/>
        <w:spacing w:before="240"/>
        <w:ind w:left="0" w:firstLine="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0"/>
          <w:numId w:val="2"/>
        </w:numPr>
        <w:tabs>
          <w:tab w:val="left" w:pos="420"/>
          <w:tab w:val="left" w:pos="567"/>
        </w:tabs>
        <w:suppressAutoHyphens w:val="0"/>
        <w:spacing w:before="240"/>
        <w:ind w:left="0" w:firstLine="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0"/>
          <w:numId w:val="2"/>
        </w:numPr>
        <w:tabs>
          <w:tab w:val="left" w:pos="420"/>
          <w:tab w:val="left" w:pos="567"/>
        </w:tabs>
        <w:suppressAutoHyphens w:val="0"/>
        <w:spacing w:before="240"/>
        <w:ind w:left="0" w:firstLine="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0"/>
          <w:numId w:val="2"/>
        </w:numPr>
        <w:tabs>
          <w:tab w:val="left" w:pos="420"/>
          <w:tab w:val="left" w:pos="567"/>
        </w:tabs>
        <w:suppressAutoHyphens w:val="0"/>
        <w:spacing w:before="240"/>
        <w:ind w:left="0" w:firstLine="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0"/>
          <w:numId w:val="2"/>
        </w:numPr>
        <w:tabs>
          <w:tab w:val="left" w:pos="420"/>
          <w:tab w:val="left" w:pos="567"/>
        </w:tabs>
        <w:suppressAutoHyphens w:val="0"/>
        <w:spacing w:before="240"/>
        <w:ind w:left="0" w:firstLine="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1"/>
          <w:numId w:val="2"/>
        </w:numPr>
        <w:tabs>
          <w:tab w:val="left" w:pos="567"/>
        </w:tabs>
        <w:suppressAutoHyphens w:val="0"/>
        <w:spacing w:before="24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1"/>
          <w:numId w:val="2"/>
        </w:numPr>
        <w:tabs>
          <w:tab w:val="left" w:pos="567"/>
        </w:tabs>
        <w:suppressAutoHyphens w:val="0"/>
        <w:spacing w:before="240"/>
        <w:contextualSpacing w:val="0"/>
        <w:jc w:val="both"/>
        <w:outlineLvl w:val="0"/>
        <w:rPr>
          <w:rFonts w:ascii="Arial" w:hAnsi="Arial" w:cs="Arial" w:eastAsiaTheme="majorEastAsia"/>
          <w:b/>
          <w:bCs/>
          <w:vanish/>
          <w:color w:val="000000"/>
          <w:sz w:val="20"/>
          <w:shd w:val="clear" w:color="auto" w:fill="FFFFFF"/>
        </w:rPr>
      </w:pPr>
    </w:p>
    <w:p>
      <w:pPr>
        <w:pStyle w:val="30"/>
        <w:keepNext/>
        <w:keepLines/>
        <w:widowControl/>
        <w:numPr>
          <w:ilvl w:val="1"/>
          <w:numId w:val="2"/>
        </w:numPr>
        <w:tabs>
          <w:tab w:val="left" w:pos="567"/>
        </w:tabs>
        <w:suppressAutoHyphens w:val="0"/>
        <w:spacing w:before="240"/>
        <w:contextualSpacing w:val="0"/>
        <w:jc w:val="both"/>
        <w:outlineLvl w:val="0"/>
        <w:rPr>
          <w:rFonts w:ascii="Arial" w:hAnsi="Arial" w:cs="Arial" w:eastAsiaTheme="majorEastAsia"/>
          <w:b/>
          <w:bCs/>
          <w:vanish/>
          <w:color w:val="000000"/>
          <w:sz w:val="20"/>
          <w:shd w:val="clear" w:color="auto" w:fill="FFFFFF"/>
        </w:rPr>
      </w:pPr>
    </w:p>
    <w:p>
      <w:pPr>
        <w:pStyle w:val="30"/>
        <w:numPr>
          <w:ilvl w:val="1"/>
          <w:numId w:val="2"/>
        </w:numPr>
        <w:spacing w:before="120" w:after="120" w:line="276" w:lineRule="auto"/>
        <w:ind w:left="425" w:firstLine="0"/>
        <w:jc w:val="both"/>
        <w:rPr>
          <w:rFonts w:ascii="Arial" w:hAnsi="Arial" w:cs="Arial"/>
          <w:i w:val="0"/>
          <w:iCs w:val="0"/>
          <w:szCs w:val="20"/>
        </w:rPr>
      </w:pPr>
      <w:r>
        <w:rPr>
          <w:rFonts w:ascii="Arial" w:hAnsi="Arial" w:cs="Arial"/>
          <w:sz w:val="20"/>
          <w:shd w:val="clear" w:color="auto" w:fill="FFFFFF"/>
        </w:rPr>
        <w:t xml:space="preserve">Nos termos do art. 7° do Decreto n° 7.203, de 2010, é vedada, ainda, a utilização, na execução dos serviços </w:t>
      </w:r>
      <w:r>
        <w:rPr>
          <w:rFonts w:ascii="Arial" w:hAnsi="Arial" w:cs="Arial"/>
          <w:sz w:val="20"/>
        </w:rPr>
        <w:t>contratados</w:t>
      </w:r>
      <w:r>
        <w:rPr>
          <w:rFonts w:ascii="Arial" w:hAnsi="Arial" w:cs="Arial"/>
          <w:sz w:val="20"/>
          <w:shd w:val="clear" w:color="auto" w:fill="FFFFFF"/>
        </w:rPr>
        <w:t>, de empregado da futura Contratada que seja familiar de agente público ocupante de cargo em comissão ou função de confiança neste órgão contratante</w:t>
      </w:r>
      <w:r>
        <w:rPr>
          <w:rFonts w:hint="default" w:ascii="Arial" w:hAnsi="Arial" w:cs="Arial"/>
          <w:sz w:val="20"/>
          <w:shd w:val="clear" w:color="auto" w:fill="FFFFFF"/>
          <w:lang w:val="pt-BR"/>
        </w:rPr>
        <w:t>.</w:t>
      </w:r>
      <w:r>
        <w:rPr>
          <w:rFonts w:ascii="Arial" w:hAnsi="Arial" w:cs="Arial"/>
          <w:i w:val="0"/>
          <w:iCs w:val="0"/>
          <w:szCs w:val="20"/>
        </w:rPr>
        <w:t xml:space="preserve"> </w:t>
      </w:r>
    </w:p>
    <w:p>
      <w:pPr>
        <w:pStyle w:val="30"/>
        <w:numPr>
          <w:ilvl w:val="0"/>
          <w:numId w:val="0"/>
        </w:numPr>
        <w:spacing w:before="120" w:after="120" w:line="276" w:lineRule="auto"/>
        <w:ind w:left="425" w:leftChars="0"/>
        <w:jc w:val="both"/>
        <w:rPr>
          <w:rFonts w:ascii="Arial" w:hAnsi="Arial" w:cs="Arial"/>
          <w:i w:val="0"/>
          <w:iCs w:val="0"/>
          <w:szCs w:val="20"/>
        </w:rPr>
      </w:pPr>
    </w:p>
    <w:p>
      <w:pPr>
        <w:numPr>
          <w:ilvl w:val="0"/>
          <w:numId w:val="4"/>
        </w:numPr>
        <w:spacing w:after="120" w:line="276" w:lineRule="auto"/>
        <w:ind w:left="357" w:hanging="357"/>
        <w:jc w:val="both"/>
        <w:rPr>
          <w:rFonts w:ascii="Arial" w:hAnsi="Arial" w:cs="Arial"/>
          <w:b/>
          <w:sz w:val="20"/>
        </w:rPr>
      </w:pPr>
      <w:r>
        <w:rPr>
          <w:rFonts w:ascii="Arial" w:hAnsi="Arial" w:cs="Arial"/>
          <w:b/>
          <w:sz w:val="20"/>
        </w:rPr>
        <w:t>DA HABILITAÇÃO</w:t>
      </w:r>
    </w:p>
    <w:p>
      <w:pPr>
        <w:pStyle w:val="30"/>
        <w:widowControl/>
        <w:numPr>
          <w:ilvl w:val="1"/>
          <w:numId w:val="4"/>
        </w:numPr>
        <w:suppressAutoHyphens w:val="0"/>
        <w:spacing w:before="120" w:after="120" w:line="276" w:lineRule="auto"/>
        <w:contextualSpacing w:val="0"/>
        <w:jc w:val="both"/>
        <w:rPr>
          <w:rFonts w:ascii="Arial" w:hAnsi="Arial" w:cs="Arial"/>
          <w:sz w:val="20"/>
          <w:lang w:eastAsia="ar-SA"/>
        </w:rPr>
      </w:pPr>
      <w:r>
        <w:rPr>
          <w:rFonts w:ascii="Arial" w:hAnsi="Arial" w:cs="Arial"/>
          <w:sz w:val="20"/>
          <w:lang w:eastAsia="ar-SA"/>
        </w:rPr>
        <w:t xml:space="preserve">Como condição prévia ao exame da documentação de habilitação do </w:t>
      </w:r>
      <w:r>
        <w:rPr>
          <w:rFonts w:ascii="Arial" w:hAnsi="Arial" w:cs="Arial"/>
          <w:color w:val="000000" w:themeColor="text1"/>
          <w:sz w:val="20"/>
          <w14:textFill>
            <w14:solidFill>
              <w14:schemeClr w14:val="tx1"/>
            </w14:solidFill>
          </w14:textFill>
        </w:rPr>
        <w:t>licitante</w:t>
      </w:r>
      <w:r>
        <w:rPr>
          <w:rFonts w:ascii="Arial" w:hAnsi="Arial" w:cs="Arial"/>
          <w:sz w:val="20"/>
          <w:lang w:eastAsia="ar-SA"/>
        </w:rPr>
        <w:t xml:space="preserv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30"/>
        <w:spacing w:before="120" w:after="120" w:line="276" w:lineRule="auto"/>
        <w:ind w:left="1134"/>
        <w:jc w:val="both"/>
        <w:rPr>
          <w:rFonts w:ascii="Arial" w:hAnsi="Arial" w:cs="Arial"/>
          <w:sz w:val="20"/>
          <w:lang w:eastAsia="ar-SA"/>
        </w:rPr>
      </w:pPr>
      <w:r>
        <w:rPr>
          <w:rFonts w:ascii="Arial" w:hAnsi="Arial" w:cs="Arial"/>
          <w:sz w:val="20"/>
          <w:lang w:eastAsia="ar-SA"/>
        </w:rPr>
        <w:t xml:space="preserve">a) SICAF;  </w:t>
      </w:r>
    </w:p>
    <w:p>
      <w:pPr>
        <w:pStyle w:val="30"/>
        <w:spacing w:before="120" w:after="120" w:line="276" w:lineRule="auto"/>
        <w:ind w:left="1134"/>
        <w:jc w:val="both"/>
        <w:rPr>
          <w:rFonts w:ascii="Arial" w:hAnsi="Arial" w:cs="Arial"/>
          <w:sz w:val="20"/>
          <w:lang w:eastAsia="ar-SA"/>
        </w:rPr>
      </w:pPr>
      <w:r>
        <w:rPr>
          <w:rFonts w:ascii="Arial" w:hAnsi="Arial" w:cs="Arial"/>
          <w:sz w:val="20"/>
          <w:lang w:eastAsia="ar-SA"/>
        </w:rPr>
        <w:t>b) Cadastro Nacional de Empresas Inidôneas e Suspensas - CEIS, mantido pela Controladoria-Geral da União (</w:t>
      </w:r>
      <w:r>
        <w:fldChar w:fldCharType="begin"/>
      </w:r>
      <w:r>
        <w:instrText xml:space="preserve"> HYPERLINK "http://www.portaldatransparencia.gov.br/ceis" </w:instrText>
      </w:r>
      <w:r>
        <w:fldChar w:fldCharType="separate"/>
      </w:r>
      <w:r>
        <w:rPr>
          <w:rStyle w:val="17"/>
          <w:rFonts w:ascii="Arial" w:hAnsi="Arial" w:cs="Arial"/>
          <w:sz w:val="20"/>
          <w:lang w:eastAsia="ar-SA"/>
        </w:rPr>
        <w:t>www.portaldatransparencia.gov.br/ceis</w:t>
      </w:r>
      <w:r>
        <w:rPr>
          <w:rStyle w:val="17"/>
          <w:rFonts w:ascii="Arial" w:hAnsi="Arial" w:cs="Arial"/>
          <w:sz w:val="20"/>
          <w:lang w:eastAsia="ar-SA"/>
        </w:rPr>
        <w:fldChar w:fldCharType="end"/>
      </w:r>
      <w:r>
        <w:rPr>
          <w:rFonts w:ascii="Arial" w:hAnsi="Arial" w:cs="Arial"/>
          <w:sz w:val="20"/>
          <w:lang w:eastAsia="ar-SA"/>
        </w:rPr>
        <w:t xml:space="preserve">);  </w:t>
      </w:r>
    </w:p>
    <w:p>
      <w:pPr>
        <w:pStyle w:val="30"/>
        <w:spacing w:before="120" w:after="120" w:line="276" w:lineRule="auto"/>
        <w:ind w:left="1134"/>
        <w:jc w:val="both"/>
        <w:rPr>
          <w:rFonts w:ascii="Arial" w:hAnsi="Arial" w:cs="Arial"/>
          <w:sz w:val="20"/>
          <w:lang w:eastAsia="ar-SA"/>
        </w:rPr>
      </w:pPr>
      <w:r>
        <w:rPr>
          <w:rFonts w:ascii="Arial" w:hAnsi="Arial" w:cs="Arial"/>
          <w:sz w:val="20"/>
          <w:lang w:eastAsia="ar-SA"/>
        </w:rPr>
        <w:t>c) 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17"/>
          <w:rFonts w:ascii="Arial" w:hAnsi="Arial" w:cs="Arial"/>
          <w:sz w:val="20"/>
          <w:lang w:eastAsia="ar-SA"/>
        </w:rPr>
        <w:t>www.cnj.jus.br/improbidade_adm/consultar_requerido.php</w:t>
      </w:r>
      <w:r>
        <w:rPr>
          <w:rStyle w:val="17"/>
          <w:rFonts w:ascii="Arial" w:hAnsi="Arial" w:cs="Arial"/>
          <w:sz w:val="20"/>
          <w:lang w:eastAsia="ar-SA"/>
        </w:rPr>
        <w:fldChar w:fldCharType="end"/>
      </w:r>
      <w:r>
        <w:rPr>
          <w:rFonts w:ascii="Arial" w:hAnsi="Arial" w:cs="Arial"/>
          <w:sz w:val="20"/>
          <w:lang w:eastAsia="ar-SA"/>
        </w:rPr>
        <w:t xml:space="preserve">).  </w:t>
      </w:r>
    </w:p>
    <w:p>
      <w:pPr>
        <w:pStyle w:val="30"/>
        <w:spacing w:before="120" w:after="120" w:line="276" w:lineRule="auto"/>
        <w:ind w:left="1134"/>
        <w:jc w:val="both"/>
        <w:rPr>
          <w:rFonts w:ascii="Arial" w:hAnsi="Arial" w:cs="Arial"/>
          <w:sz w:val="20"/>
          <w:lang w:eastAsia="ar-SA"/>
        </w:rPr>
      </w:pPr>
      <w:r>
        <w:rPr>
          <w:rFonts w:ascii="Arial" w:hAnsi="Arial" w:cs="Arial"/>
          <w:sz w:val="20"/>
          <w:lang w:eastAsia="ar-SA"/>
        </w:rPr>
        <w:t xml:space="preserve">d) Lista de Inidôneos e o Cadastro Integrado de Condenações por Ilícitos Administrativos - CADICON, mantidos pelo Tribunal de Contas da União - TCU; </w:t>
      </w:r>
    </w:p>
    <w:p>
      <w:pPr>
        <w:pStyle w:val="30"/>
        <w:widowControl/>
        <w:numPr>
          <w:ilvl w:val="2"/>
          <w:numId w:val="4"/>
        </w:numPr>
        <w:suppressAutoHyphens w:val="0"/>
        <w:spacing w:before="120" w:after="120" w:line="276" w:lineRule="auto"/>
        <w:contextualSpacing w:val="0"/>
        <w:jc w:val="both"/>
        <w:rPr>
          <w:rFonts w:ascii="Arial" w:hAnsi="Arial" w:cs="Arial"/>
          <w:sz w:val="20"/>
        </w:rPr>
      </w:pPr>
      <w:r>
        <w:rPr>
          <w:rFonts w:ascii="Arial" w:hAnsi="Arial" w:cs="Arial"/>
          <w:sz w:val="20"/>
          <w:lang w:eastAsia="ar-SA"/>
        </w:rPr>
        <w:t>Para a consulta de licitantes pessoa jurídica poderá haver a substituição das consultas das alíneas “b”, “c” e “d” acima pela Consulta Consolidada de Pessoa Jurídica do TCU (https://certidoesapf.apps.tcu.gov.br/)</w:t>
      </w:r>
    </w:p>
    <w:p>
      <w:pPr>
        <w:pStyle w:val="30"/>
        <w:widowControl/>
        <w:numPr>
          <w:ilvl w:val="2"/>
          <w:numId w:val="4"/>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30"/>
        <w:widowControl/>
        <w:numPr>
          <w:ilvl w:val="3"/>
          <w:numId w:val="4"/>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Caso conste na Consulta de Situação do Fornecedor a existência de Ocorrências Impeditivas Indiretas, o gestor diligenciará para verificar se houve fraude por parte das empresas apontadas no Relatório de Ocorrências Impeditivas Indiretas.</w:t>
      </w:r>
    </w:p>
    <w:p>
      <w:pPr>
        <w:pStyle w:val="30"/>
        <w:widowControl/>
        <w:numPr>
          <w:ilvl w:val="4"/>
          <w:numId w:val="4"/>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A tentativa de burla será verificada por meio dos vínculos societários, linhas de fornecimento similares, dentre outros.</w:t>
      </w:r>
    </w:p>
    <w:p>
      <w:pPr>
        <w:pStyle w:val="30"/>
        <w:widowControl/>
        <w:numPr>
          <w:ilvl w:val="4"/>
          <w:numId w:val="4"/>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O licitante será convocado para manifestação previamente à sua desclassificação.</w:t>
      </w:r>
    </w:p>
    <w:p>
      <w:pPr>
        <w:pStyle w:val="30"/>
        <w:widowControl/>
        <w:numPr>
          <w:ilvl w:val="2"/>
          <w:numId w:val="4"/>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Constatada a existência de sanção, o licitante será declarado inabilitado, por falta de condição de participação.</w:t>
      </w:r>
    </w:p>
    <w:p>
      <w:pPr>
        <w:pStyle w:val="46"/>
        <w:keepNext w:val="0"/>
        <w:widowControl/>
        <w:numPr>
          <w:ilvl w:val="1"/>
          <w:numId w:val="4"/>
        </w:numPr>
        <w:spacing w:before="120" w:after="120"/>
        <w:rPr>
          <w:rFonts w:ascii="Arial" w:hAnsi="Arial" w:cs="Arial"/>
          <w:szCs w:val="20"/>
        </w:rPr>
      </w:pPr>
      <w:r>
        <w:rPr>
          <w:rFonts w:ascii="Arial" w:hAnsi="Arial" w:cs="Arial"/>
          <w:color w:val="000000" w:themeColor="text1"/>
          <w:szCs w:val="20"/>
          <w14:textFill>
            <w14:solidFill>
              <w14:schemeClr w14:val="tx1"/>
            </w14:solidFill>
          </w14:textFill>
        </w:rPr>
        <w:t>Não ocorrendo inabilitação, será consultado o Sistema de Cadastro Unificado de Fornecedores – SICAF, para os licitantes cadastrados, em relação à habilitação jurídica, à regularidade fiscal, à qualificação econômica financeira e habilitação técnica, conforme o disposto nos arts.</w:t>
      </w:r>
      <w:r>
        <w:fldChar w:fldCharType="begin"/>
      </w:r>
      <w:r>
        <w:instrText xml:space="preserve"> HYPERLINK \h </w:instrText>
      </w:r>
      <w:r>
        <w:fldChar w:fldCharType="separate"/>
      </w:r>
      <w:r>
        <w:rPr>
          <w:rStyle w:val="17"/>
          <w:rFonts w:ascii="Arial" w:hAnsi="Arial" w:cs="Arial"/>
          <w:szCs w:val="20"/>
        </w:rPr>
        <w:t>10, 11, 12, 13, 14, 15</w:t>
      </w:r>
      <w:r>
        <w:rPr>
          <w:rStyle w:val="17"/>
          <w:rFonts w:ascii="Arial" w:hAnsi="Arial" w:cs="Arial"/>
          <w:szCs w:val="20"/>
        </w:rPr>
        <w:fldChar w:fldCharType="end"/>
      </w:r>
      <w:r>
        <w:rPr>
          <w:rFonts w:ascii="Arial" w:hAnsi="Arial" w:cs="Arial"/>
          <w:color w:val="000000" w:themeColor="text1"/>
          <w:szCs w:val="20"/>
          <w14:textFill>
            <w14:solidFill>
              <w14:schemeClr w14:val="tx1"/>
            </w14:solidFill>
          </w14:textFill>
        </w:rPr>
        <w:t> e 16 da Instrução Normativa SEGES/MP nº 03, de 2018.</w:t>
      </w:r>
    </w:p>
    <w:p>
      <w:pPr>
        <w:pStyle w:val="46"/>
        <w:keepNext w:val="0"/>
        <w:widowControl/>
        <w:numPr>
          <w:ilvl w:val="2"/>
          <w:numId w:val="4"/>
        </w:numPr>
        <w:spacing w:before="120" w:after="120"/>
        <w:rPr>
          <w:rFonts w:ascii="Arial" w:hAnsi="Arial" w:cs="Arial"/>
          <w:szCs w:val="20"/>
        </w:rPr>
      </w:pPr>
      <w:r>
        <w:rPr>
          <w:rFonts w:ascii="Arial" w:hAnsi="Arial" w:cs="Arial"/>
          <w:color w:val="000000" w:themeColor="text1"/>
          <w:szCs w:val="20"/>
          <w14:textFill>
            <w14:solidFill>
              <w14:schemeClr w14:val="tx1"/>
            </w14:solidFill>
          </w14:textFill>
        </w:rPr>
        <w:t xml:space="preserve"> </w:t>
      </w:r>
      <w:r>
        <w:rPr>
          <w:rFonts w:ascii="Arial" w:hAnsi="Arial"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46"/>
        <w:keepNext w:val="0"/>
        <w:widowControl/>
        <w:numPr>
          <w:ilvl w:val="1"/>
          <w:numId w:val="4"/>
        </w:numPr>
        <w:spacing w:before="120" w:after="120"/>
        <w:rPr>
          <w:rFonts w:ascii="Arial" w:hAnsi="Arial" w:cs="Arial"/>
          <w:szCs w:val="20"/>
        </w:rPr>
      </w:pPr>
      <w:r>
        <w:rPr>
          <w:rFonts w:ascii="Arial" w:hAnsi="Arial" w:cs="Arial"/>
          <w:color w:val="000000"/>
          <w:szCs w:val="20"/>
        </w:rPr>
        <w:t>Também poderão ser consultados os sítios oficiais emissores de certidões, especialmente quando o licitante esteja com alguma documentação vencida junto ao SICAF.</w:t>
      </w:r>
    </w:p>
    <w:p>
      <w:pPr>
        <w:pStyle w:val="46"/>
        <w:keepNext w:val="0"/>
        <w:widowControl/>
        <w:numPr>
          <w:ilvl w:val="1"/>
          <w:numId w:val="4"/>
        </w:numPr>
        <w:spacing w:before="120" w:after="120"/>
        <w:rPr>
          <w:rFonts w:ascii="Arial" w:hAnsi="Arial" w:cs="Arial"/>
          <w:bCs/>
          <w:dstrike/>
          <w:color w:val="000000"/>
        </w:rPr>
      </w:pPr>
      <w:r>
        <w:rPr>
          <w:rFonts w:ascii="Arial" w:hAnsi="Arial" w:cs="Arial"/>
          <w:color w:val="000000" w:themeColor="text1"/>
          <w:szCs w:val="20"/>
          <w14:textFill>
            <w14:solidFill>
              <w14:schemeClr w14:val="tx1"/>
            </w14:solidFill>
          </w14:textFill>
        </w:rPr>
        <w:t>As Microempresas e Empresas de Pequeno Porte deverão encaminhar a documentação de habilitação, ainda que haja alguma restrição de regularidade fiscal e trabalhista, nos termos do art. 43, § 1º da LC nº 123, de 2006.</w:t>
      </w:r>
    </w:p>
    <w:p>
      <w:pPr>
        <w:pStyle w:val="46"/>
        <w:keepNext w:val="0"/>
        <w:widowControl/>
        <w:numPr>
          <w:ilvl w:val="1"/>
          <w:numId w:val="4"/>
        </w:numPr>
        <w:spacing w:before="120" w:after="120"/>
        <w:ind w:left="568" w:firstLine="0"/>
        <w:rPr>
          <w:rFonts w:ascii="Arial" w:hAnsi="Arial" w:cs="Arial"/>
          <w:bCs/>
          <w:dstrike/>
          <w:color w:val="000000"/>
        </w:rPr>
      </w:pPr>
      <w:r>
        <w:rPr>
          <w:rFonts w:ascii="Arial" w:hAnsi="Arial" w:cs="Arial"/>
          <w:color w:val="000000"/>
        </w:rPr>
        <w:t>Os licitantes que não estiverem cadastrados no Sistema de Cadastro Unificado de Fornecedores – SICAF, nos termos do art. 6º, Instrução Normativa SEGES/MP nº 3, de 2018, deverão apresentar,</w:t>
      </w:r>
      <w:r>
        <w:rPr>
          <w:rFonts w:ascii="Arial" w:hAnsi="Arial" w:cs="Arial"/>
          <w:bCs/>
          <w:color w:val="000000"/>
        </w:rPr>
        <w:t xml:space="preserve"> até o terceiro dia anterior à data do recebimento das propostas, a</w:t>
      </w:r>
      <w:r>
        <w:rPr>
          <w:rFonts w:ascii="Arial" w:hAnsi="Arial" w:cs="Arial"/>
          <w:color w:val="000000"/>
        </w:rPr>
        <w:t xml:space="preserve"> documentação relativa à Habilitação Jurídica, à Regularidade Fiscal e Trabalhista, à</w:t>
      </w:r>
      <w:r>
        <w:rPr>
          <w:rFonts w:ascii="Arial" w:hAnsi="Arial" w:cs="Arial"/>
          <w:color w:val="000000" w:themeColor="text1"/>
          <w14:textFill>
            <w14:solidFill>
              <w14:schemeClr w14:val="tx1"/>
            </w14:solidFill>
          </w14:textFill>
        </w:rPr>
        <w:t xml:space="preserve"> Qualificação Econômico-Financeira e Habilitação Técnica</w:t>
      </w:r>
      <w:r>
        <w:rPr>
          <w:rFonts w:ascii="Arial" w:hAnsi="Arial" w:cs="Arial"/>
          <w:color w:val="000000"/>
        </w:rPr>
        <w:t>, nas condições descritas adiante.</w:t>
      </w:r>
    </w:p>
    <w:p>
      <w:pPr>
        <w:pStyle w:val="46"/>
        <w:keepNext w:val="0"/>
        <w:widowControl/>
        <w:numPr>
          <w:ilvl w:val="2"/>
          <w:numId w:val="4"/>
        </w:numPr>
        <w:spacing w:before="120" w:after="120"/>
        <w:rPr>
          <w:rFonts w:ascii="Arial" w:hAnsi="Arial" w:cs="Arial"/>
          <w:color w:val="000000"/>
        </w:rPr>
      </w:pPr>
      <w:r>
        <w:rPr>
          <w:rFonts w:ascii="Arial" w:hAnsi="Arial" w:cs="Arial"/>
          <w:color w:val="000000"/>
        </w:rPr>
        <w:t xml:space="preserve">Os documentos da habilitação cadastral acima indicados deverão ser acondicionados em envelopes, conforme estabelecido para os documentos de habilitação. </w:t>
      </w:r>
    </w:p>
    <w:p>
      <w:pPr>
        <w:pStyle w:val="46"/>
        <w:keepNext w:val="0"/>
        <w:widowControl/>
        <w:spacing w:before="120" w:after="120"/>
        <w:ind w:left="1072" w:firstLine="0"/>
        <w:rPr>
          <w:rFonts w:ascii="Arial" w:hAnsi="Arial" w:cs="Arial"/>
          <w:bCs/>
          <w:dstrike/>
          <w:color w:val="000000"/>
        </w:rPr>
      </w:pPr>
    </w:p>
    <w:p>
      <w:pPr>
        <w:pStyle w:val="30"/>
        <w:widowControl/>
        <w:numPr>
          <w:ilvl w:val="1"/>
          <w:numId w:val="4"/>
        </w:numPr>
        <w:suppressAutoHyphens w:val="0"/>
        <w:spacing w:before="120" w:after="120" w:line="276" w:lineRule="auto"/>
        <w:jc w:val="both"/>
        <w:rPr>
          <w:rFonts w:ascii="Arial" w:hAnsi="Arial" w:cs="Arial"/>
          <w:b/>
          <w:bCs/>
          <w:color w:val="000000" w:themeColor="text1"/>
          <w:sz w:val="20"/>
          <w14:textFill>
            <w14:solidFill>
              <w14:schemeClr w14:val="tx1"/>
            </w14:solidFill>
          </w14:textFill>
        </w:rPr>
      </w:pPr>
      <w:r>
        <w:rPr>
          <w:rFonts w:ascii="Arial" w:hAnsi="Arial" w:cs="Arial"/>
          <w:b/>
          <w:bCs/>
          <w:color w:val="000000"/>
          <w:sz w:val="20"/>
        </w:rPr>
        <w:t xml:space="preserve">Habilitação Jurídica: </w:t>
      </w:r>
    </w:p>
    <w:p>
      <w:pPr>
        <w:pStyle w:val="30"/>
        <w:widowControl/>
        <w:suppressAutoHyphens w:val="0"/>
        <w:spacing w:before="120" w:after="120" w:line="276" w:lineRule="auto"/>
        <w:ind w:left="858"/>
        <w:jc w:val="both"/>
        <w:rPr>
          <w:rFonts w:ascii="Arial" w:hAnsi="Arial" w:cs="Arial"/>
          <w:b/>
          <w:bCs/>
          <w:color w:val="000000" w:themeColor="text1"/>
          <w:sz w:val="20"/>
          <w14:textFill>
            <w14:solidFill>
              <w14:schemeClr w14:val="tx1"/>
            </w14:solidFill>
          </w14:textFill>
        </w:rPr>
      </w:pPr>
    </w:p>
    <w:p>
      <w:pPr>
        <w:pStyle w:val="30"/>
        <w:widowControl/>
        <w:numPr>
          <w:ilvl w:val="2"/>
          <w:numId w:val="4"/>
        </w:numPr>
        <w:suppressAutoHyphens w:val="0"/>
        <w:spacing w:before="120" w:after="120" w:line="276" w:lineRule="auto"/>
        <w:jc w:val="both"/>
        <w:rPr>
          <w:rFonts w:ascii="Arial" w:hAnsi="Arial" w:cs="Arial"/>
          <w:sz w:val="20"/>
        </w:rPr>
      </w:pPr>
      <w:r>
        <w:rPr>
          <w:rFonts w:ascii="Arial" w:hAnsi="Arial" w:cs="Arial"/>
          <w:sz w:val="20"/>
        </w:rPr>
        <w:t>No caso de empresário individual: inscrição no Registro Público de Empresas Mercantis, a cargo da Junta Comercial da respectiva sede;</w:t>
      </w:r>
    </w:p>
    <w:p>
      <w:pPr>
        <w:pStyle w:val="30"/>
        <w:widowControl/>
        <w:numPr>
          <w:ilvl w:val="2"/>
          <w:numId w:val="4"/>
        </w:numPr>
        <w:suppressAutoHyphens w:val="0"/>
        <w:spacing w:before="120" w:after="120" w:line="276" w:lineRule="auto"/>
        <w:jc w:val="both"/>
        <w:rPr>
          <w:rFonts w:ascii="Arial" w:hAnsi="Arial" w:cs="Arial"/>
          <w:sz w:val="20"/>
        </w:rPr>
      </w:pPr>
      <w:r>
        <w:rPr>
          <w:rFonts w:ascii="Arial" w:hAnsi="Arial" w:cs="Arial"/>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30"/>
        <w:widowControl/>
        <w:numPr>
          <w:ilvl w:val="2"/>
          <w:numId w:val="4"/>
        </w:numPr>
        <w:suppressAutoHyphens w:val="0"/>
        <w:spacing w:before="120" w:after="120" w:line="276" w:lineRule="auto"/>
        <w:jc w:val="both"/>
        <w:rPr>
          <w:rFonts w:ascii="Arial" w:hAnsi="Arial" w:cs="Arial"/>
          <w:sz w:val="20"/>
        </w:rPr>
      </w:pPr>
      <w:r>
        <w:rPr>
          <w:rFonts w:ascii="Arial" w:hAnsi="Arial" w:cs="Arial"/>
          <w:sz w:val="20"/>
        </w:rPr>
        <w:t>Inscrição no Registro Público de Empresas Mercantis onde opera, com averbação no Registro onde tem sede a matriz, no caso de ser o participante sucursal, filial ou agência;</w:t>
      </w:r>
    </w:p>
    <w:p>
      <w:pPr>
        <w:pStyle w:val="30"/>
        <w:numPr>
          <w:ilvl w:val="2"/>
          <w:numId w:val="4"/>
        </w:numPr>
        <w:spacing w:before="120" w:after="120" w:line="276" w:lineRule="auto"/>
        <w:jc w:val="both"/>
        <w:rPr>
          <w:rFonts w:ascii="Arial" w:hAnsi="Arial" w:cs="Arial"/>
          <w:sz w:val="20"/>
        </w:rPr>
      </w:pPr>
      <w:r>
        <w:rPr>
          <w:rFonts w:ascii="Arial" w:hAnsi="Arial" w:cs="Arial"/>
          <w:sz w:val="20"/>
        </w:rPr>
        <w:t>No caso de sociedade simples: inscrição do ato constitutivo no Registro Civil das Pessoas Jurídicas do local de sua sede, acompanhada de prova da indicação dos seus administradores;</w:t>
      </w:r>
    </w:p>
    <w:p>
      <w:pPr>
        <w:pStyle w:val="30"/>
        <w:numPr>
          <w:ilvl w:val="0"/>
          <w:numId w:val="8"/>
        </w:numPr>
        <w:spacing w:before="120" w:after="120" w:line="276" w:lineRule="auto"/>
        <w:jc w:val="both"/>
        <w:rPr>
          <w:rFonts w:ascii="Arial" w:hAnsi="Arial" w:cs="Arial"/>
          <w:vanish/>
          <w:sz w:val="20"/>
        </w:rPr>
      </w:pPr>
    </w:p>
    <w:p>
      <w:pPr>
        <w:pStyle w:val="30"/>
        <w:numPr>
          <w:ilvl w:val="1"/>
          <w:numId w:val="8"/>
        </w:numPr>
        <w:spacing w:before="120" w:after="120" w:line="276" w:lineRule="auto"/>
        <w:jc w:val="both"/>
        <w:rPr>
          <w:rFonts w:ascii="Arial" w:hAnsi="Arial" w:cs="Arial"/>
          <w:vanish/>
          <w:sz w:val="20"/>
        </w:rPr>
      </w:pPr>
    </w:p>
    <w:p>
      <w:pPr>
        <w:pStyle w:val="30"/>
        <w:numPr>
          <w:ilvl w:val="1"/>
          <w:numId w:val="8"/>
        </w:numPr>
        <w:spacing w:before="120" w:after="120" w:line="276" w:lineRule="auto"/>
        <w:jc w:val="both"/>
        <w:rPr>
          <w:rFonts w:ascii="Arial" w:hAnsi="Arial" w:cs="Arial"/>
          <w:vanish/>
          <w:sz w:val="20"/>
        </w:rPr>
      </w:pPr>
    </w:p>
    <w:p>
      <w:pPr>
        <w:pStyle w:val="30"/>
        <w:numPr>
          <w:ilvl w:val="2"/>
          <w:numId w:val="4"/>
        </w:numPr>
        <w:spacing w:before="120" w:after="120" w:line="276" w:lineRule="auto"/>
        <w:jc w:val="both"/>
        <w:rPr>
          <w:rFonts w:ascii="Arial" w:hAnsi="Arial" w:cs="Arial"/>
          <w:sz w:val="20"/>
        </w:rPr>
      </w:pPr>
      <w:r>
        <w:rPr>
          <w:rFonts w:ascii="Arial" w:hAnsi="Arial" w:cs="Arial"/>
          <w:sz w:val="20"/>
        </w:rPr>
        <w:t>Decreto de autorização, em se tratando de sociedade empresária estrangeira em funcionamento no País;</w:t>
      </w:r>
    </w:p>
    <w:p>
      <w:pPr>
        <w:pStyle w:val="30"/>
        <w:numPr>
          <w:ilvl w:val="2"/>
          <w:numId w:val="4"/>
        </w:numPr>
        <w:spacing w:before="120" w:after="120" w:line="276" w:lineRule="auto"/>
        <w:jc w:val="both"/>
        <w:rPr>
          <w:rFonts w:ascii="Arial" w:hAnsi="Arial" w:cs="Arial"/>
          <w:i/>
          <w:color w:val="auto"/>
          <w:sz w:val="20"/>
          <w:highlight w:val="none"/>
        </w:rPr>
      </w:pPr>
      <w:r>
        <w:rPr>
          <w:rFonts w:ascii="Arial" w:hAnsi="Arial" w:cs="Arial"/>
          <w:i/>
          <w:color w:val="auto"/>
          <w:sz w:val="20"/>
          <w:highlight w:val="none"/>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30"/>
        <w:widowControl/>
        <w:numPr>
          <w:ilvl w:val="2"/>
          <w:numId w:val="4"/>
        </w:numPr>
        <w:suppressAutoHyphens w:val="0"/>
        <w:spacing w:before="120" w:after="120" w:line="276" w:lineRule="auto"/>
        <w:ind w:left="1429"/>
        <w:contextualSpacing w:val="0"/>
        <w:jc w:val="both"/>
        <w:rPr>
          <w:rFonts w:ascii="Arial" w:hAnsi="Arial" w:cs="Arial"/>
          <w:sz w:val="20"/>
        </w:rPr>
      </w:pPr>
      <w:r>
        <w:rPr>
          <w:rFonts w:ascii="Arial" w:hAnsi="Arial" w:cs="Arial"/>
          <w:sz w:val="20"/>
        </w:rPr>
        <w:t>Os documentos acima deverão estar acompanhados de todas as alterações ou da consolidação respectiva;</w:t>
      </w:r>
    </w:p>
    <w:p>
      <w:pPr>
        <w:pStyle w:val="30"/>
        <w:widowControl/>
        <w:numPr>
          <w:ilvl w:val="1"/>
          <w:numId w:val="4"/>
        </w:numPr>
        <w:suppressAutoHyphens w:val="0"/>
        <w:spacing w:before="120" w:after="120" w:line="276" w:lineRule="auto"/>
        <w:contextualSpacing w:val="0"/>
        <w:jc w:val="both"/>
        <w:rPr>
          <w:rFonts w:ascii="Arial" w:hAnsi="Arial" w:cs="Arial"/>
          <w:b/>
          <w:sz w:val="20"/>
        </w:rPr>
      </w:pPr>
      <w:r>
        <w:rPr>
          <w:rFonts w:ascii="Arial" w:hAnsi="Arial" w:cs="Arial"/>
          <w:b/>
          <w:bCs/>
          <w:color w:val="000000"/>
          <w:sz w:val="20"/>
        </w:rPr>
        <w:t xml:space="preserve">Regularidades Fiscal e Trabalhista: </w:t>
      </w:r>
    </w:p>
    <w:p>
      <w:pPr>
        <w:pStyle w:val="30"/>
        <w:widowControl/>
        <w:numPr>
          <w:ilvl w:val="2"/>
          <w:numId w:val="4"/>
        </w:numPr>
        <w:suppressAutoHyphens w:val="0"/>
        <w:spacing w:before="120" w:after="120" w:line="276" w:lineRule="auto"/>
        <w:jc w:val="both"/>
        <w:rPr>
          <w:rFonts w:ascii="Arial" w:hAnsi="Arial" w:cs="Arial"/>
          <w:sz w:val="20"/>
        </w:rPr>
      </w:pPr>
      <w:r>
        <w:rPr>
          <w:rFonts w:ascii="Arial" w:hAnsi="Arial" w:cs="Arial"/>
          <w:sz w:val="20"/>
          <w:lang w:eastAsia="en-US"/>
        </w:rPr>
        <w:t>prova de inscrição no Cadastro Nacional de Pessoas Jurídicas;</w:t>
      </w:r>
    </w:p>
    <w:p>
      <w:pPr>
        <w:pStyle w:val="30"/>
        <w:widowControl/>
        <w:numPr>
          <w:ilvl w:val="2"/>
          <w:numId w:val="4"/>
        </w:numPr>
        <w:suppressAutoHyphens w:val="0"/>
        <w:spacing w:before="120" w:after="120" w:line="276" w:lineRule="auto"/>
        <w:ind w:left="1429"/>
        <w:jc w:val="both"/>
        <w:rPr>
          <w:rFonts w:ascii="Arial" w:hAnsi="Arial" w:cs="Arial"/>
          <w:color w:val="000000"/>
          <w:sz w:val="20"/>
        </w:rPr>
      </w:pPr>
      <w:r>
        <w:rPr>
          <w:rFonts w:ascii="Arial" w:hAnsi="Arial" w:cs="Arial"/>
          <w:sz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30"/>
        <w:widowControl/>
        <w:numPr>
          <w:ilvl w:val="2"/>
          <w:numId w:val="4"/>
        </w:numPr>
        <w:suppressAutoHyphens w:val="0"/>
        <w:spacing w:before="120" w:after="120" w:line="276" w:lineRule="auto"/>
        <w:ind w:left="1429"/>
        <w:contextualSpacing w:val="0"/>
        <w:jc w:val="both"/>
        <w:rPr>
          <w:rFonts w:ascii="Arial" w:hAnsi="Arial" w:cs="Arial"/>
          <w:color w:val="000000"/>
          <w:sz w:val="20"/>
        </w:rPr>
      </w:pPr>
      <w:r>
        <w:rPr>
          <w:rFonts w:ascii="Arial" w:hAnsi="Arial" w:cs="Arial"/>
          <w:color w:val="000000"/>
          <w:sz w:val="20"/>
          <w:lang w:eastAsia="en-US"/>
        </w:rPr>
        <w:t>prova de regularidade com o Fundo de Garantia do Tempo de Serviço (FGTS);</w:t>
      </w:r>
    </w:p>
    <w:p>
      <w:pPr>
        <w:pStyle w:val="39"/>
        <w:numPr>
          <w:ilvl w:val="2"/>
          <w:numId w:val="4"/>
        </w:numPr>
        <w:ind w:left="1429"/>
        <w:rPr>
          <w:rFonts w:ascii="Arial" w:hAnsi="Arial"/>
          <w:color w:val="000000"/>
          <w:lang w:eastAsia="en-US"/>
        </w:rPr>
      </w:pPr>
      <w:r>
        <w:rPr>
          <w:rFonts w:ascii="Arial" w:hAnsi="Arial"/>
          <w:color w:val="00000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39"/>
        <w:numPr>
          <w:ilvl w:val="2"/>
          <w:numId w:val="4"/>
        </w:numPr>
        <w:ind w:left="1429"/>
        <w:rPr>
          <w:rFonts w:ascii="Arial" w:hAnsi="Arial"/>
          <w:i/>
          <w:color w:val="auto"/>
          <w:lang w:eastAsia="en-US"/>
        </w:rPr>
      </w:pPr>
      <w:r>
        <w:rPr>
          <w:rFonts w:ascii="Arial" w:hAnsi="Arial"/>
          <w:i/>
          <w:color w:val="auto"/>
          <w:lang w:eastAsia="en-US"/>
        </w:rPr>
        <w:t>prova de inscrição no cadastro de contribuintes estadual/municipal, relativo ao domicílio ou sede do licitante, pertinente ao seu ramo de atividade e compatível com o objeto contratual;</w:t>
      </w:r>
    </w:p>
    <w:p>
      <w:pPr>
        <w:pStyle w:val="39"/>
        <w:numPr>
          <w:ilvl w:val="2"/>
          <w:numId w:val="4"/>
        </w:numPr>
        <w:ind w:left="1429"/>
        <w:rPr>
          <w:rFonts w:ascii="Arial" w:hAnsi="Arial"/>
          <w:i/>
          <w:color w:val="auto"/>
          <w:lang w:eastAsia="en-US"/>
        </w:rPr>
      </w:pPr>
      <w:r>
        <w:rPr>
          <w:rFonts w:ascii="Arial" w:hAnsi="Arial"/>
          <w:i/>
          <w:color w:val="auto"/>
          <w:lang w:eastAsia="en-US"/>
        </w:rPr>
        <w:t xml:space="preserve">prova </w:t>
      </w:r>
      <w:r>
        <w:rPr>
          <w:rFonts w:ascii="Arial" w:hAnsi="Arial"/>
          <w:i/>
          <w:color w:val="auto"/>
        </w:rPr>
        <w:t>de</w:t>
      </w:r>
      <w:r>
        <w:rPr>
          <w:rFonts w:ascii="Arial" w:hAnsi="Arial"/>
          <w:i/>
          <w:color w:val="auto"/>
          <w:lang w:eastAsia="en-US"/>
        </w:rPr>
        <w:t xml:space="preserve"> regularidade com a Fazenda Estadual/Municipal do domicílio ou sede do licitante; </w:t>
      </w:r>
    </w:p>
    <w:p>
      <w:pPr>
        <w:pStyle w:val="39"/>
        <w:numPr>
          <w:ilvl w:val="3"/>
          <w:numId w:val="4"/>
        </w:numPr>
        <w:ind w:left="1701" w:firstLine="0"/>
        <w:rPr>
          <w:rFonts w:ascii="Arial" w:hAnsi="Arial"/>
          <w:i/>
          <w:color w:val="auto"/>
        </w:rPr>
      </w:pPr>
      <w:r>
        <w:rPr>
          <w:rFonts w:ascii="Arial" w:hAnsi="Arial"/>
          <w:i/>
          <w:color w:val="auto"/>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pPr>
        <w:pStyle w:val="30"/>
        <w:numPr>
          <w:ilvl w:val="0"/>
          <w:numId w:val="9"/>
        </w:numPr>
        <w:spacing w:before="120" w:after="120" w:line="276" w:lineRule="auto"/>
        <w:jc w:val="both"/>
        <w:rPr>
          <w:rFonts w:ascii="Arial" w:hAnsi="Arial" w:cs="Arial"/>
          <w:bCs/>
          <w:i/>
          <w:iCs/>
          <w:vanish/>
          <w:color w:val="auto"/>
          <w:sz w:val="20"/>
        </w:rPr>
      </w:pPr>
    </w:p>
    <w:p>
      <w:pPr>
        <w:pStyle w:val="30"/>
        <w:numPr>
          <w:ilvl w:val="1"/>
          <w:numId w:val="9"/>
        </w:numPr>
        <w:spacing w:before="120" w:after="120" w:line="276" w:lineRule="auto"/>
        <w:jc w:val="both"/>
        <w:rPr>
          <w:rFonts w:ascii="Arial" w:hAnsi="Arial" w:cs="Arial"/>
          <w:bCs/>
          <w:i/>
          <w:iCs/>
          <w:vanish/>
          <w:color w:val="auto"/>
          <w:sz w:val="20"/>
        </w:rPr>
      </w:pPr>
    </w:p>
    <w:p>
      <w:pPr>
        <w:pStyle w:val="30"/>
        <w:numPr>
          <w:ilvl w:val="1"/>
          <w:numId w:val="9"/>
        </w:numPr>
        <w:spacing w:before="120" w:after="120" w:line="276" w:lineRule="auto"/>
        <w:jc w:val="both"/>
        <w:rPr>
          <w:rFonts w:ascii="Arial" w:hAnsi="Arial" w:cs="Arial"/>
          <w:bCs/>
          <w:i/>
          <w:iCs/>
          <w:vanish/>
          <w:color w:val="auto"/>
          <w:sz w:val="20"/>
        </w:rPr>
      </w:pPr>
    </w:p>
    <w:p>
      <w:pPr>
        <w:pStyle w:val="30"/>
        <w:numPr>
          <w:ilvl w:val="1"/>
          <w:numId w:val="9"/>
        </w:numPr>
        <w:spacing w:before="120" w:after="120" w:line="276" w:lineRule="auto"/>
        <w:jc w:val="both"/>
        <w:rPr>
          <w:rFonts w:ascii="Arial" w:hAnsi="Arial" w:cs="Arial"/>
          <w:bCs/>
          <w:i/>
          <w:iCs/>
          <w:vanish/>
          <w:color w:val="auto"/>
          <w:sz w:val="20"/>
        </w:rPr>
      </w:pPr>
    </w:p>
    <w:p>
      <w:pPr>
        <w:pStyle w:val="30"/>
        <w:numPr>
          <w:ilvl w:val="1"/>
          <w:numId w:val="9"/>
        </w:numPr>
        <w:spacing w:before="120" w:after="120" w:line="276" w:lineRule="auto"/>
        <w:jc w:val="both"/>
        <w:rPr>
          <w:rFonts w:ascii="Arial" w:hAnsi="Arial" w:cs="Arial"/>
          <w:bCs/>
          <w:i/>
          <w:iCs/>
          <w:vanish/>
          <w:color w:val="auto"/>
          <w:sz w:val="20"/>
        </w:rPr>
      </w:pPr>
    </w:p>
    <w:p>
      <w:pPr>
        <w:pStyle w:val="30"/>
        <w:numPr>
          <w:ilvl w:val="2"/>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3"/>
          <w:numId w:val="9"/>
        </w:numPr>
        <w:spacing w:before="120" w:after="120" w:line="276" w:lineRule="auto"/>
        <w:jc w:val="both"/>
        <w:rPr>
          <w:rFonts w:ascii="Arial" w:hAnsi="Arial" w:cs="Arial"/>
          <w:bCs/>
          <w:i/>
          <w:iCs/>
          <w:vanish/>
          <w:color w:val="auto"/>
          <w:sz w:val="20"/>
        </w:rPr>
      </w:pPr>
    </w:p>
    <w:p>
      <w:pPr>
        <w:pStyle w:val="30"/>
        <w:numPr>
          <w:ilvl w:val="0"/>
          <w:numId w:val="10"/>
        </w:numPr>
        <w:spacing w:before="120" w:after="120" w:line="276" w:lineRule="auto"/>
        <w:jc w:val="both"/>
        <w:rPr>
          <w:rFonts w:ascii="Arial" w:hAnsi="Arial" w:cs="Arial"/>
          <w:bCs/>
          <w:i/>
          <w:iCs/>
          <w:vanish/>
          <w:color w:val="auto"/>
          <w:sz w:val="20"/>
        </w:rPr>
      </w:pPr>
    </w:p>
    <w:p>
      <w:pPr>
        <w:pStyle w:val="30"/>
        <w:numPr>
          <w:ilvl w:val="1"/>
          <w:numId w:val="10"/>
        </w:numPr>
        <w:spacing w:before="120" w:after="120" w:line="276" w:lineRule="auto"/>
        <w:jc w:val="both"/>
        <w:rPr>
          <w:rFonts w:ascii="Arial" w:hAnsi="Arial" w:cs="Arial"/>
          <w:bCs/>
          <w:i/>
          <w:iCs/>
          <w:vanish/>
          <w:color w:val="auto"/>
          <w:sz w:val="20"/>
        </w:rPr>
      </w:pPr>
    </w:p>
    <w:p>
      <w:pPr>
        <w:pStyle w:val="30"/>
        <w:spacing w:before="120" w:after="120" w:line="276" w:lineRule="auto"/>
        <w:ind w:left="1428"/>
        <w:jc w:val="both"/>
        <w:rPr>
          <w:rFonts w:ascii="Arial" w:hAnsi="Arial" w:cs="Arial"/>
          <w:bCs/>
          <w:i/>
          <w:iCs/>
          <w:color w:val="auto"/>
          <w:sz w:val="20"/>
        </w:rPr>
      </w:pPr>
    </w:p>
    <w:p>
      <w:pPr>
        <w:pStyle w:val="30"/>
        <w:numPr>
          <w:ilvl w:val="2"/>
          <w:numId w:val="4"/>
        </w:numPr>
        <w:spacing w:before="120" w:after="120" w:line="276" w:lineRule="auto"/>
        <w:jc w:val="both"/>
        <w:rPr>
          <w:rFonts w:ascii="Arial" w:hAnsi="Arial" w:cs="Arial"/>
          <w:bCs/>
          <w:i/>
          <w:iCs/>
          <w:color w:val="auto"/>
          <w:sz w:val="20"/>
        </w:rPr>
      </w:pPr>
      <w:r>
        <w:rPr>
          <w:rFonts w:ascii="Arial" w:hAnsi="Arial" w:cs="Arial"/>
          <w:bCs/>
          <w:i/>
          <w:iCs/>
          <w:color w:val="auto"/>
          <w:sz w:val="20"/>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pPr>
        <w:pStyle w:val="30"/>
        <w:widowControl/>
        <w:numPr>
          <w:ilvl w:val="1"/>
          <w:numId w:val="4"/>
        </w:numPr>
        <w:suppressAutoHyphens w:val="0"/>
        <w:spacing w:before="120" w:after="120" w:line="276" w:lineRule="auto"/>
        <w:jc w:val="both"/>
        <w:rPr>
          <w:rFonts w:ascii="Arial" w:hAnsi="Arial" w:cs="Arial"/>
          <w:b/>
          <w:vanish/>
          <w:color w:val="000000"/>
          <w:sz w:val="20"/>
          <w:lang w:eastAsia="en-US"/>
        </w:rPr>
      </w:pPr>
    </w:p>
    <w:p>
      <w:pPr>
        <w:pStyle w:val="30"/>
        <w:widowControl/>
        <w:suppressAutoHyphens w:val="0"/>
        <w:spacing w:before="120" w:after="120" w:line="276" w:lineRule="auto"/>
        <w:ind w:left="854"/>
        <w:jc w:val="both"/>
        <w:rPr>
          <w:rFonts w:ascii="Arial" w:hAnsi="Arial" w:cs="Arial"/>
          <w:b/>
          <w:color w:val="000000"/>
          <w:sz w:val="20"/>
          <w:lang w:eastAsia="en-US"/>
        </w:rPr>
      </w:pPr>
    </w:p>
    <w:p>
      <w:pPr>
        <w:pStyle w:val="30"/>
        <w:widowControl/>
        <w:numPr>
          <w:ilvl w:val="1"/>
          <w:numId w:val="9"/>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9"/>
        </w:numPr>
        <w:suppressAutoHyphens w:val="0"/>
        <w:spacing w:before="120" w:after="120" w:line="276" w:lineRule="auto"/>
        <w:jc w:val="both"/>
        <w:rPr>
          <w:rFonts w:ascii="Arial" w:hAnsi="Arial" w:cs="Arial"/>
          <w:b/>
          <w:color w:val="000000"/>
          <w:sz w:val="20"/>
          <w:lang w:eastAsia="en-US"/>
        </w:rPr>
      </w:pPr>
      <w:r>
        <w:rPr>
          <w:rFonts w:ascii="Arial" w:hAnsi="Arial" w:cs="Arial"/>
          <w:b/>
          <w:color w:val="000000"/>
          <w:sz w:val="20"/>
          <w:lang w:eastAsia="en-US"/>
        </w:rPr>
        <w:t>Qualificação Econômico-Financeira:</w:t>
      </w:r>
    </w:p>
    <w:p>
      <w:pPr>
        <w:pStyle w:val="30"/>
        <w:widowControl/>
        <w:numPr>
          <w:ilvl w:val="0"/>
          <w:numId w:val="0"/>
        </w:numPr>
        <w:suppressAutoHyphens w:val="0"/>
        <w:spacing w:before="120" w:after="120" w:line="276" w:lineRule="auto"/>
        <w:ind w:left="354" w:leftChars="0"/>
        <w:jc w:val="both"/>
        <w:rPr>
          <w:rFonts w:ascii="Arial" w:hAnsi="Arial" w:cs="Arial"/>
          <w:b/>
          <w:color w:val="000000"/>
          <w:sz w:val="20"/>
          <w:lang w:eastAsia="en-US"/>
        </w:rPr>
      </w:pPr>
    </w:p>
    <w:p>
      <w:pPr>
        <w:pStyle w:val="30"/>
        <w:widowControl/>
        <w:numPr>
          <w:ilvl w:val="2"/>
          <w:numId w:val="4"/>
        </w:numPr>
        <w:suppressAutoHyphens w:val="0"/>
        <w:spacing w:before="120" w:after="120" w:line="276" w:lineRule="auto"/>
        <w:jc w:val="both"/>
        <w:rPr>
          <w:rFonts w:ascii="Arial" w:hAnsi="Arial" w:cs="Arial"/>
          <w:color w:val="000000"/>
          <w:sz w:val="20"/>
        </w:rPr>
      </w:pPr>
      <w:r>
        <w:rPr>
          <w:rFonts w:ascii="Arial" w:hAnsi="Arial" w:cs="Arial"/>
          <w:color w:val="000000"/>
          <w:sz w:val="20"/>
          <w:lang w:eastAsia="en-US"/>
        </w:rPr>
        <w:t>certidão</w:t>
      </w:r>
      <w:r>
        <w:rPr>
          <w:rFonts w:ascii="Arial" w:hAnsi="Arial" w:cs="Arial"/>
          <w:color w:val="000000"/>
          <w:sz w:val="20"/>
        </w:rPr>
        <w:t xml:space="preserve"> negativa de falência ou recuperação judicial expedida pelo distribuidor da sede do licitante;</w:t>
      </w:r>
    </w:p>
    <w:p>
      <w:pPr>
        <w:pStyle w:val="39"/>
        <w:numPr>
          <w:ilvl w:val="3"/>
          <w:numId w:val="4"/>
        </w:numPr>
        <w:ind w:left="1701" w:firstLine="0"/>
        <w:rPr>
          <w:rFonts w:ascii="Arial" w:hAnsi="Arial"/>
          <w:color w:val="000000"/>
        </w:rPr>
      </w:pPr>
      <w:r>
        <w:rPr>
          <w:rFonts w:ascii="Arial" w:hAnsi="Arial"/>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pPr>
        <w:widowControl/>
        <w:suppressAutoHyphens w:val="0"/>
        <w:spacing w:before="120" w:after="120" w:line="276" w:lineRule="auto"/>
        <w:jc w:val="both"/>
        <w:rPr>
          <w:rFonts w:ascii="Arial" w:hAnsi="Arial" w:cs="Arial"/>
          <w:color w:val="000000"/>
          <w:sz w:val="20"/>
        </w:rPr>
      </w:pPr>
    </w:p>
    <w:p>
      <w:pPr>
        <w:pStyle w:val="30"/>
        <w:widowControl/>
        <w:numPr>
          <w:ilvl w:val="2"/>
          <w:numId w:val="4"/>
        </w:numPr>
        <w:suppressAutoHyphens w:val="0"/>
        <w:spacing w:before="120" w:after="120" w:line="276" w:lineRule="auto"/>
        <w:contextualSpacing w:val="0"/>
        <w:jc w:val="both"/>
        <w:rPr>
          <w:rFonts w:ascii="Arial" w:hAnsi="Arial" w:cs="Arial"/>
          <w:color w:val="000000"/>
          <w:sz w:val="20"/>
        </w:rPr>
      </w:pPr>
      <w:r>
        <w:rPr>
          <w:rFonts w:ascii="Arial" w:hAnsi="Arial" w:cs="Arial"/>
          <w:color w:val="000000"/>
          <w:sz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39"/>
        <w:numPr>
          <w:ilvl w:val="3"/>
          <w:numId w:val="4"/>
        </w:numPr>
        <w:ind w:left="2421"/>
        <w:rPr>
          <w:rFonts w:ascii="Arial" w:hAnsi="Arial"/>
          <w:color w:val="000000"/>
        </w:rPr>
      </w:pPr>
      <w:r>
        <w:rPr>
          <w:rFonts w:ascii="Arial" w:hAnsi="Arial"/>
          <w:color w:val="000000"/>
        </w:rPr>
        <w:t xml:space="preserve">no caso de empresa constituída no exercício social vigente, admite-se a apresentação de balanço </w:t>
      </w:r>
      <w:r>
        <w:rPr>
          <w:rFonts w:ascii="Arial" w:hAnsi="Arial"/>
        </w:rPr>
        <w:t>patrimonial</w:t>
      </w:r>
      <w:r>
        <w:rPr>
          <w:rFonts w:ascii="Arial" w:hAnsi="Arial"/>
          <w:color w:val="000000"/>
        </w:rPr>
        <w:t xml:space="preserve"> e demonstrações contábeis referentes ao período de existência da sociedade;</w:t>
      </w:r>
    </w:p>
    <w:p>
      <w:pPr>
        <w:pStyle w:val="30"/>
        <w:numPr>
          <w:ilvl w:val="3"/>
          <w:numId w:val="4"/>
        </w:numPr>
        <w:spacing w:before="120" w:after="120" w:line="276" w:lineRule="auto"/>
        <w:ind w:left="2421"/>
        <w:jc w:val="both"/>
        <w:rPr>
          <w:rFonts w:ascii="Arial" w:hAnsi="Arial" w:cs="Arial"/>
          <w:color w:val="000000"/>
          <w:sz w:val="20"/>
        </w:rPr>
      </w:pPr>
      <w:r>
        <w:rPr>
          <w:rFonts w:ascii="Arial" w:hAnsi="Arial" w:cs="Arial"/>
          <w:color w:val="000000"/>
          <w:sz w:val="20"/>
        </w:rPr>
        <w:t>é admissível o balanço intermediário, se decorrer de lei ou contrato/estatuto social.</w:t>
      </w:r>
    </w:p>
    <w:p>
      <w:pPr>
        <w:pStyle w:val="30"/>
        <w:numPr>
          <w:ilvl w:val="3"/>
          <w:numId w:val="4"/>
        </w:numPr>
        <w:spacing w:before="120" w:after="120" w:line="276" w:lineRule="auto"/>
        <w:ind w:left="2421"/>
        <w:jc w:val="both"/>
        <w:rPr>
          <w:rFonts w:ascii="Arial" w:hAnsi="Arial"/>
          <w:sz w:val="20"/>
          <w:highlight w:val="none"/>
        </w:rPr>
      </w:pPr>
      <w:r>
        <w:rPr>
          <w:rFonts w:ascii="Arial" w:hAnsi="Arial" w:cs="Arial"/>
          <w:color w:val="000000"/>
          <w:sz w:val="20"/>
          <w:highlight w:val="none"/>
        </w:rPr>
        <w:t>Caso</w:t>
      </w:r>
      <w:r>
        <w:rPr>
          <w:rFonts w:ascii="Arial" w:hAnsi="Arial"/>
          <w:sz w:val="20"/>
          <w:highlight w:val="none"/>
        </w:rPr>
        <w:t xml:space="preserve">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30"/>
        <w:widowControl/>
        <w:suppressAutoHyphens w:val="0"/>
        <w:spacing w:before="120" w:after="120" w:line="276" w:lineRule="auto"/>
        <w:ind w:left="1072"/>
        <w:contextualSpacing w:val="0"/>
        <w:jc w:val="both"/>
        <w:rPr>
          <w:rFonts w:ascii="Arial" w:hAnsi="Arial" w:cs="Arial"/>
          <w:sz w:val="20"/>
        </w:rPr>
      </w:pPr>
    </w:p>
    <w:p>
      <w:pPr>
        <w:pStyle w:val="30"/>
        <w:widowControl/>
        <w:numPr>
          <w:ilvl w:val="2"/>
          <w:numId w:val="4"/>
        </w:numPr>
        <w:suppressAutoHyphens w:val="0"/>
        <w:spacing w:before="120" w:after="120" w:line="276" w:lineRule="auto"/>
        <w:contextualSpacing w:val="0"/>
        <w:jc w:val="both"/>
        <w:rPr>
          <w:rFonts w:ascii="Arial" w:hAnsi="Arial" w:cs="Arial"/>
          <w:sz w:val="20"/>
        </w:rPr>
      </w:pPr>
      <w:r>
        <w:rPr>
          <w:rFonts w:ascii="Arial" w:hAnsi="Arial" w:cs="Arial"/>
          <w:sz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19"/>
        <w:tblW w:w="0" w:type="auto"/>
        <w:tblInd w:w="1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409"/>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nil"/>
              <w:left w:val="nil"/>
              <w:bottom w:val="nil"/>
              <w:right w:val="nil"/>
            </w:tcBorders>
            <w:vAlign w:val="center"/>
          </w:tcPr>
          <w:p>
            <w:pPr>
              <w:pStyle w:val="46"/>
              <w:keepNext w:val="0"/>
              <w:widowControl/>
              <w:shd w:val="clear" w:color="auto" w:fill="auto"/>
              <w:spacing w:before="120" w:after="120"/>
              <w:ind w:firstLine="0"/>
              <w:jc w:val="right"/>
              <w:rPr>
                <w:rFonts w:ascii="Arial" w:hAnsi="Arial" w:cs="Arial"/>
                <w:szCs w:val="20"/>
              </w:rPr>
            </w:pPr>
            <w:r>
              <w:rPr>
                <w:rFonts w:ascii="Arial" w:hAnsi="Arial" w:cs="Arial"/>
                <w:szCs w:val="20"/>
              </w:rPr>
              <w:t xml:space="preserve">LG = </w:t>
            </w:r>
          </w:p>
        </w:tc>
        <w:tc>
          <w:tcPr>
            <w:tcW w:w="4961" w:type="dxa"/>
            <w:gridSpan w:val="2"/>
            <w:tcBorders>
              <w:top w:val="nil"/>
              <w:left w:val="nil"/>
              <w:right w:val="nil"/>
            </w:tcBorders>
          </w:tcPr>
          <w:p>
            <w:pPr>
              <w:pStyle w:val="46"/>
              <w:keepNext w:val="0"/>
              <w:widowControl/>
              <w:shd w:val="clear" w:color="auto" w:fill="auto"/>
              <w:spacing w:before="120" w:after="120"/>
              <w:ind w:firstLine="0"/>
              <w:jc w:val="center"/>
              <w:rPr>
                <w:rFonts w:ascii="Arial" w:hAnsi="Arial" w:cs="Arial"/>
                <w:szCs w:val="20"/>
              </w:rPr>
            </w:pPr>
            <w:r>
              <w:rPr>
                <w:rFonts w:ascii="Arial" w:hAnsi="Arial" w:cs="Arial"/>
                <w:szCs w:val="20"/>
              </w:rPr>
              <w:t>Ativo Circulante + Realizável a Longo Prazo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nil"/>
              <w:left w:val="nil"/>
              <w:bottom w:val="nil"/>
              <w:right w:val="nil"/>
            </w:tcBorders>
          </w:tcPr>
          <w:p>
            <w:pPr>
              <w:pStyle w:val="46"/>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pPr>
              <w:pStyle w:val="46"/>
              <w:keepNext w:val="0"/>
              <w:widowControl/>
              <w:shd w:val="clear" w:color="auto" w:fill="auto"/>
              <w:spacing w:before="120" w:after="120"/>
              <w:ind w:firstLine="0"/>
              <w:jc w:val="center"/>
              <w:rPr>
                <w:rFonts w:ascii="Arial" w:hAnsi="Arial" w:cs="Arial"/>
                <w:szCs w:val="20"/>
              </w:rPr>
            </w:pPr>
            <w:r>
              <w:rPr>
                <w:rFonts w:ascii="Arial" w:hAnsi="Arial" w:cs="Arial"/>
                <w:szCs w:val="20"/>
              </w:rPr>
              <w:t>Passivo Circulante + Passivo Não Circulante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nil"/>
              <w:left w:val="nil"/>
              <w:bottom w:val="nil"/>
              <w:right w:val="nil"/>
            </w:tcBorders>
            <w:vAlign w:val="center"/>
          </w:tcPr>
          <w:p>
            <w:pPr>
              <w:pStyle w:val="46"/>
              <w:keepNext w:val="0"/>
              <w:widowControl/>
              <w:shd w:val="clear" w:color="auto" w:fill="auto"/>
              <w:spacing w:before="120" w:after="120"/>
              <w:ind w:firstLine="0"/>
              <w:jc w:val="right"/>
              <w:rPr>
                <w:rFonts w:ascii="Arial" w:hAnsi="Arial" w:cs="Arial"/>
                <w:szCs w:val="20"/>
              </w:rPr>
            </w:pPr>
            <w:r>
              <w:rPr>
                <w:rFonts w:ascii="Arial" w:hAnsi="Arial" w:cs="Arial"/>
                <w:szCs w:val="20"/>
              </w:rPr>
              <w:t xml:space="preserve">SG = </w:t>
            </w:r>
          </w:p>
        </w:tc>
        <w:tc>
          <w:tcPr>
            <w:tcW w:w="4961" w:type="dxa"/>
            <w:gridSpan w:val="2"/>
            <w:tcBorders>
              <w:top w:val="nil"/>
              <w:left w:val="nil"/>
              <w:right w:val="nil"/>
            </w:tcBorders>
          </w:tcPr>
          <w:p>
            <w:pPr>
              <w:pStyle w:val="46"/>
              <w:keepNext w:val="0"/>
              <w:widowControl/>
              <w:shd w:val="clear" w:color="auto" w:fill="auto"/>
              <w:spacing w:before="120" w:after="120"/>
              <w:ind w:firstLine="0"/>
              <w:jc w:val="center"/>
              <w:rPr>
                <w:rFonts w:ascii="Arial" w:hAnsi="Arial" w:cs="Arial"/>
                <w:szCs w:val="20"/>
              </w:rPr>
            </w:pPr>
            <w:r>
              <w:rPr>
                <w:rFonts w:ascii="Arial" w:hAnsi="Arial" w:cs="Arial"/>
                <w:szCs w:val="20"/>
              </w:rPr>
              <w:t>Ativo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nil"/>
              <w:left w:val="nil"/>
              <w:bottom w:val="nil"/>
              <w:right w:val="nil"/>
            </w:tcBorders>
          </w:tcPr>
          <w:p>
            <w:pPr>
              <w:pStyle w:val="46"/>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pPr>
              <w:pStyle w:val="46"/>
              <w:keepNext w:val="0"/>
              <w:widowControl/>
              <w:shd w:val="clear" w:color="auto" w:fill="auto"/>
              <w:spacing w:before="120" w:after="120"/>
              <w:ind w:firstLine="0"/>
              <w:jc w:val="center"/>
              <w:rPr>
                <w:rFonts w:ascii="Arial" w:hAnsi="Arial" w:cs="Arial"/>
                <w:szCs w:val="20"/>
              </w:rPr>
            </w:pPr>
            <w:r>
              <w:rPr>
                <w:rFonts w:ascii="Arial" w:hAnsi="Arial" w:cs="Arial"/>
                <w:szCs w:val="20"/>
              </w:rPr>
              <w:t>Passivo Circulante + Passivo Não Circulante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52" w:type="dxa"/>
        </w:trPr>
        <w:tc>
          <w:tcPr>
            <w:tcW w:w="1668" w:type="dxa"/>
            <w:vMerge w:val="restart"/>
            <w:tcBorders>
              <w:top w:val="nil"/>
              <w:left w:val="nil"/>
              <w:bottom w:val="nil"/>
              <w:right w:val="nil"/>
            </w:tcBorders>
            <w:vAlign w:val="center"/>
          </w:tcPr>
          <w:p>
            <w:pPr>
              <w:pStyle w:val="46"/>
              <w:keepNext w:val="0"/>
              <w:widowControl/>
              <w:shd w:val="clear" w:color="auto" w:fill="auto"/>
              <w:spacing w:before="120" w:after="120"/>
              <w:ind w:firstLine="0"/>
              <w:jc w:val="right"/>
              <w:rPr>
                <w:rFonts w:ascii="Arial" w:hAnsi="Arial" w:cs="Arial"/>
                <w:szCs w:val="20"/>
              </w:rPr>
            </w:pPr>
            <w:r>
              <w:rPr>
                <w:rFonts w:ascii="Arial" w:hAnsi="Arial" w:cs="Arial"/>
                <w:szCs w:val="20"/>
              </w:rPr>
              <w:t xml:space="preserve">LC = </w:t>
            </w:r>
          </w:p>
        </w:tc>
        <w:tc>
          <w:tcPr>
            <w:tcW w:w="2409" w:type="dxa"/>
            <w:tcBorders>
              <w:top w:val="nil"/>
              <w:left w:val="nil"/>
              <w:right w:val="nil"/>
            </w:tcBorders>
          </w:tcPr>
          <w:p>
            <w:pPr>
              <w:pStyle w:val="46"/>
              <w:keepNext w:val="0"/>
              <w:widowControl/>
              <w:shd w:val="clear" w:color="auto" w:fill="auto"/>
              <w:spacing w:before="120" w:after="120"/>
              <w:ind w:firstLine="0"/>
              <w:jc w:val="center"/>
              <w:rPr>
                <w:rFonts w:ascii="Arial" w:hAnsi="Arial" w:cs="Arial"/>
                <w:szCs w:val="20"/>
              </w:rPr>
            </w:pPr>
            <w:r>
              <w:rPr>
                <w:rFonts w:ascii="Arial" w:hAnsi="Arial" w:cs="Arial"/>
                <w:szCs w:val="20"/>
              </w:rPr>
              <w:t>Ativo Circulante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52" w:type="dxa"/>
        </w:trPr>
        <w:tc>
          <w:tcPr>
            <w:tcW w:w="1668" w:type="dxa"/>
            <w:vMerge w:val="continue"/>
            <w:tcBorders>
              <w:top w:val="nil"/>
              <w:left w:val="nil"/>
              <w:bottom w:val="nil"/>
              <w:right w:val="nil"/>
            </w:tcBorders>
          </w:tcPr>
          <w:p>
            <w:pPr>
              <w:pStyle w:val="46"/>
              <w:keepNext w:val="0"/>
              <w:widowControl/>
              <w:shd w:val="clear" w:color="auto" w:fill="auto"/>
              <w:spacing w:before="120" w:after="120"/>
              <w:ind w:firstLine="0"/>
              <w:rPr>
                <w:rFonts w:ascii="Arial" w:hAnsi="Arial" w:cs="Arial"/>
                <w:szCs w:val="20"/>
              </w:rPr>
            </w:pPr>
          </w:p>
        </w:tc>
        <w:tc>
          <w:tcPr>
            <w:tcW w:w="2409" w:type="dxa"/>
            <w:tcBorders>
              <w:left w:val="nil"/>
              <w:bottom w:val="nil"/>
              <w:right w:val="nil"/>
            </w:tcBorders>
          </w:tcPr>
          <w:p>
            <w:pPr>
              <w:pStyle w:val="46"/>
              <w:keepNext w:val="0"/>
              <w:widowControl/>
              <w:shd w:val="clear" w:color="auto" w:fill="auto"/>
              <w:spacing w:before="120" w:after="120"/>
              <w:ind w:firstLine="0"/>
              <w:jc w:val="center"/>
              <w:rPr>
                <w:rFonts w:ascii="Arial" w:hAnsi="Arial" w:cs="Arial"/>
                <w:szCs w:val="20"/>
              </w:rPr>
            </w:pPr>
            <w:r>
              <w:rPr>
                <w:rFonts w:ascii="Arial" w:hAnsi="Arial" w:cs="Arial"/>
                <w:szCs w:val="20"/>
              </w:rPr>
              <w:t>Passivo Circulante</w:t>
            </w:r>
          </w:p>
        </w:tc>
      </w:tr>
    </w:tbl>
    <w:p>
      <w:pPr>
        <w:pStyle w:val="30"/>
        <w:widowControl/>
        <w:numPr>
          <w:ilvl w:val="2"/>
          <w:numId w:val="4"/>
        </w:numPr>
        <w:suppressAutoHyphens w:val="0"/>
        <w:spacing w:before="120" w:after="120" w:line="276" w:lineRule="auto"/>
        <w:contextualSpacing w:val="0"/>
        <w:jc w:val="both"/>
        <w:rPr>
          <w:rFonts w:ascii="Arial" w:hAnsi="Arial" w:cs="Arial"/>
          <w:bCs/>
          <w:sz w:val="20"/>
        </w:rPr>
      </w:pPr>
      <w:r>
        <w:rPr>
          <w:rFonts w:ascii="Arial" w:hAnsi="Arial" w:cs="Arial"/>
          <w:sz w:val="20"/>
        </w:rPr>
        <w:t xml:space="preserve">O licitante que apresentar índices econômicos iguais ou inferiores a 1 (um) em qualquer dos índices de Liquidez Geral, Solvência Geral e Liquidez Corrente deverá comprovar que possui (capital mínimo ou patrimônio líquido) equivalente a </w:t>
      </w:r>
      <w:r>
        <w:rPr>
          <w:rFonts w:hint="default" w:ascii="Arial" w:hAnsi="Arial" w:cs="Arial"/>
          <w:sz w:val="20"/>
          <w:lang w:val="pt-BR"/>
        </w:rPr>
        <w:t>10</w:t>
      </w:r>
      <w:r>
        <w:rPr>
          <w:rFonts w:ascii="Arial" w:hAnsi="Arial" w:cs="Arial"/>
          <w:color w:val="auto"/>
          <w:sz w:val="20"/>
        </w:rPr>
        <w:t>% (</w:t>
      </w:r>
      <w:r>
        <w:rPr>
          <w:rFonts w:hint="default" w:ascii="Arial" w:hAnsi="Arial" w:cs="Arial"/>
          <w:color w:val="auto"/>
          <w:sz w:val="20"/>
          <w:lang w:val="pt-BR"/>
        </w:rPr>
        <w:t>Dez</w:t>
      </w:r>
      <w:r>
        <w:rPr>
          <w:rFonts w:ascii="Arial" w:hAnsi="Arial" w:cs="Arial"/>
          <w:color w:val="auto"/>
          <w:sz w:val="20"/>
        </w:rPr>
        <w:t xml:space="preserve"> por cento) </w:t>
      </w:r>
      <w:r>
        <w:rPr>
          <w:rFonts w:ascii="Arial" w:hAnsi="Arial" w:cs="Arial"/>
          <w:sz w:val="20"/>
        </w:rPr>
        <w:t>do valor total estimado da contratação ou do item pertinente.</w:t>
      </w:r>
    </w:p>
    <w:p>
      <w:pPr>
        <w:pStyle w:val="30"/>
        <w:widowControl/>
        <w:suppressAutoHyphens w:val="0"/>
        <w:spacing w:before="120" w:after="120" w:line="276" w:lineRule="auto"/>
        <w:ind w:left="854"/>
        <w:jc w:val="both"/>
        <w:rPr>
          <w:rFonts w:ascii="Arial" w:hAnsi="Arial" w:cs="Arial"/>
          <w:b/>
          <w:color w:val="000000"/>
          <w:sz w:val="20"/>
          <w:lang w:eastAsia="en-US"/>
        </w:rPr>
      </w:pPr>
    </w:p>
    <w:p>
      <w:pPr>
        <w:pStyle w:val="30"/>
        <w:widowControl/>
        <w:numPr>
          <w:ilvl w:val="0"/>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vanish/>
          <w:color w:val="000000"/>
          <w:sz w:val="20"/>
          <w:lang w:eastAsia="en-US"/>
        </w:rPr>
      </w:pPr>
    </w:p>
    <w:p>
      <w:pPr>
        <w:pStyle w:val="30"/>
        <w:widowControl/>
        <w:numPr>
          <w:ilvl w:val="1"/>
          <w:numId w:val="11"/>
        </w:numPr>
        <w:suppressAutoHyphens w:val="0"/>
        <w:spacing w:before="120" w:after="120" w:line="276" w:lineRule="auto"/>
        <w:jc w:val="both"/>
        <w:rPr>
          <w:rFonts w:ascii="Arial" w:hAnsi="Arial" w:cs="Arial"/>
          <w:b/>
          <w:color w:val="000000"/>
          <w:sz w:val="20"/>
          <w:lang w:eastAsia="en-US"/>
        </w:rPr>
      </w:pPr>
      <w:r>
        <w:rPr>
          <w:rFonts w:ascii="Arial" w:hAnsi="Arial" w:cs="Arial"/>
          <w:b/>
          <w:color w:val="000000"/>
          <w:sz w:val="20"/>
          <w:lang w:eastAsia="en-US"/>
        </w:rPr>
        <w:t>Qualificação Técnica:</w:t>
      </w:r>
    </w:p>
    <w:p>
      <w:pPr>
        <w:pStyle w:val="38"/>
        <w:numPr>
          <w:ilvl w:val="2"/>
          <w:numId w:val="11"/>
        </w:numPr>
        <w:ind w:left="1134" w:firstLine="0"/>
        <w:rPr>
          <w:rFonts w:ascii="Arial" w:hAnsi="Arial"/>
        </w:rPr>
      </w:pPr>
      <w:r>
        <w:rPr>
          <w:rStyle w:val="42"/>
          <w:rFonts w:ascii="Arial" w:hAnsi="Arial"/>
        </w:rPr>
        <w:t>As empresas cadastradas ou não no SICAF,</w:t>
      </w:r>
      <w:r>
        <w:rPr>
          <w:rFonts w:ascii="Arial" w:hAnsi="Arial"/>
        </w:rPr>
        <w:t xml:space="preserve"> </w:t>
      </w:r>
      <w:r>
        <w:rPr>
          <w:rFonts w:ascii="Arial" w:hAnsi="Arial"/>
          <w:i/>
          <w:iCs/>
          <w:color w:val="auto"/>
        </w:rPr>
        <w:t>para todos os itens,</w:t>
      </w:r>
      <w:r>
        <w:rPr>
          <w:rFonts w:ascii="Arial" w:hAnsi="Arial"/>
          <w:i/>
          <w:iCs/>
          <w:color w:val="FF0000"/>
        </w:rPr>
        <w:t xml:space="preserve"> </w:t>
      </w:r>
      <w:r>
        <w:rPr>
          <w:rStyle w:val="42"/>
          <w:rFonts w:ascii="Arial" w:hAnsi="Arial"/>
        </w:rPr>
        <w:t>deverão comprovar, ainda, a qualificação técnica, por meio da apresentação dos documentos que seguem, no envelope nº 1:</w:t>
      </w:r>
      <w:r>
        <w:rPr>
          <w:rFonts w:ascii="Arial" w:hAnsi="Arial"/>
        </w:rPr>
        <w:t xml:space="preserve"> </w:t>
      </w:r>
    </w:p>
    <w:p>
      <w:pPr>
        <w:pStyle w:val="39"/>
        <w:numPr>
          <w:ilvl w:val="2"/>
          <w:numId w:val="11"/>
        </w:numPr>
        <w:ind w:left="1134" w:firstLine="0"/>
        <w:rPr>
          <w:rFonts w:ascii="Arial" w:hAnsi="Arial"/>
        </w:rPr>
      </w:pPr>
      <w:r>
        <w:rPr>
          <w:rFonts w:ascii="Arial" w:hAnsi="Arial"/>
        </w:rPr>
        <w:t xml:space="preserve">Registro ou inscrição da empresa licitante no CREA (Conselho Regional de Engenharia e Agronomia) e/ou CAU (Conselho de Arquitetura e Urbanismo), </w:t>
      </w:r>
      <w:r>
        <w:rPr>
          <w:rStyle w:val="31"/>
          <w:color w:val="auto"/>
        </w:rPr>
        <w:t xml:space="preserve">conforme as áreas de atuação previstas no Projeto Básico, </w:t>
      </w:r>
      <w:r>
        <w:rPr>
          <w:rFonts w:ascii="Arial" w:hAnsi="Arial"/>
        </w:rPr>
        <w:t>em plena validade;</w:t>
      </w:r>
    </w:p>
    <w:p>
      <w:pPr>
        <w:pStyle w:val="39"/>
        <w:numPr>
          <w:ilvl w:val="2"/>
          <w:numId w:val="11"/>
        </w:numPr>
        <w:ind w:left="1134" w:firstLine="0"/>
        <w:rPr>
          <w:rFonts w:ascii="Arial" w:hAnsi="Arial"/>
        </w:rPr>
      </w:pPr>
      <w:r>
        <w:rPr>
          <w:rFonts w:ascii="Arial" w:hAnsi="Arial"/>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Pr>
          <w:rFonts w:ascii="Arial" w:hAnsi="Arial"/>
          <w:b/>
          <w:color w:val="FF0000"/>
        </w:rPr>
        <w:t xml:space="preserve"> </w:t>
      </w:r>
      <w:r>
        <w:rPr>
          <w:rFonts w:ascii="Arial" w:hAnsi="Arial"/>
        </w:rPr>
        <w:t xml:space="preserve">compatível em características, quantidades e prazos com o objeto da presente licitação, envolvendo as parcelas de maior relevância e valor significativo do objeto da licitação: </w:t>
      </w:r>
    </w:p>
    <w:p>
      <w:pPr>
        <w:pStyle w:val="39"/>
        <w:numPr>
          <w:ilvl w:val="3"/>
          <w:numId w:val="11"/>
        </w:numPr>
        <w:rPr>
          <w:rFonts w:ascii="Arial" w:hAnsi="Arial"/>
          <w:b/>
          <w:bCs/>
          <w:i/>
          <w:color w:val="auto"/>
          <w:u w:val="single"/>
        </w:rPr>
      </w:pPr>
      <w:r>
        <w:rPr>
          <w:rFonts w:ascii="Arial" w:hAnsi="Arial" w:eastAsia="Arial"/>
          <w:b/>
          <w:bCs/>
          <w:color w:val="auto"/>
          <w:u w:val="single"/>
        </w:rPr>
        <w:t xml:space="preserve">Execução de </w:t>
      </w:r>
      <w:r>
        <w:rPr>
          <w:rFonts w:hint="default" w:ascii="Arial" w:hAnsi="Arial" w:eastAsia="Arial"/>
          <w:b/>
          <w:bCs/>
          <w:color w:val="auto"/>
          <w:u w:val="single"/>
          <w:lang w:val="pt-BR"/>
        </w:rPr>
        <w:t>estrutura de concreto armado para edificação térrea, com  FCK igual ou maior que 25 MPA no mínimo de 30m³ ou equivalente a 300m² de área construida;</w:t>
      </w:r>
    </w:p>
    <w:p>
      <w:pPr>
        <w:pStyle w:val="39"/>
        <w:numPr>
          <w:ilvl w:val="3"/>
          <w:numId w:val="11"/>
        </w:numPr>
        <w:rPr>
          <w:rFonts w:ascii="Arial" w:hAnsi="Arial"/>
          <w:b/>
          <w:bCs/>
          <w:i/>
          <w:color w:val="auto"/>
          <w:u w:val="single"/>
        </w:rPr>
      </w:pPr>
      <w:r>
        <w:rPr>
          <w:rFonts w:ascii="Arial" w:hAnsi="Arial"/>
          <w:b/>
          <w:bCs/>
          <w:i/>
          <w:color w:val="auto"/>
          <w:u w:val="single"/>
        </w:rPr>
        <w:t xml:space="preserve"> </w:t>
      </w:r>
      <w:r>
        <w:rPr>
          <w:rFonts w:ascii="Arial" w:hAnsi="Arial" w:eastAsia="Arial"/>
          <w:b/>
          <w:bCs/>
          <w:color w:val="auto"/>
          <w:u w:val="single"/>
        </w:rPr>
        <w:t>Execução de no mínimo de</w:t>
      </w:r>
      <w:r>
        <w:rPr>
          <w:rFonts w:hint="default" w:ascii="Arial" w:hAnsi="Arial" w:eastAsia="Arial"/>
          <w:b/>
          <w:bCs/>
          <w:color w:val="auto"/>
          <w:u w:val="single"/>
          <w:lang w:val="pt-BR"/>
        </w:rPr>
        <w:t xml:space="preserve"> 950</w:t>
      </w:r>
      <w:r>
        <w:rPr>
          <w:rFonts w:ascii="Arial" w:hAnsi="Arial" w:eastAsia="Arial"/>
          <w:b/>
          <w:bCs/>
          <w:color w:val="auto"/>
          <w:u w:val="single"/>
        </w:rPr>
        <w:t xml:space="preserve"> m</w:t>
      </w:r>
      <w:r>
        <w:rPr>
          <w:rFonts w:hint="default" w:ascii="Arial" w:hAnsi="Arial" w:eastAsia="Arial"/>
          <w:b/>
          <w:bCs/>
          <w:color w:val="auto"/>
          <w:u w:val="single"/>
          <w:lang w:val="pt-BR"/>
        </w:rPr>
        <w:t>³</w:t>
      </w:r>
      <w:r>
        <w:rPr>
          <w:rFonts w:ascii="Arial" w:hAnsi="Arial" w:eastAsia="Arial"/>
          <w:b/>
          <w:bCs/>
          <w:color w:val="auto"/>
          <w:u w:val="single"/>
        </w:rPr>
        <w:t xml:space="preserve"> </w:t>
      </w:r>
      <w:r>
        <w:rPr>
          <w:rFonts w:hint="default" w:ascii="Arial" w:hAnsi="Arial" w:eastAsia="Arial"/>
          <w:b/>
          <w:bCs/>
          <w:color w:val="auto"/>
          <w:u w:val="single"/>
          <w:lang w:val="pt-BR"/>
        </w:rPr>
        <w:t>de aterro mecanizado de vala;</w:t>
      </w:r>
    </w:p>
    <w:p>
      <w:pPr>
        <w:pStyle w:val="39"/>
        <w:numPr>
          <w:ilvl w:val="3"/>
          <w:numId w:val="11"/>
        </w:numPr>
        <w:rPr>
          <w:rFonts w:ascii="Arial" w:hAnsi="Arial" w:cs="Arial"/>
          <w:b/>
          <w:bCs/>
          <w:color w:val="auto"/>
          <w:sz w:val="20"/>
          <w:u w:val="single"/>
        </w:rPr>
      </w:pPr>
      <w:r>
        <w:rPr>
          <w:rFonts w:hint="default" w:ascii="Arial" w:hAnsi="Arial"/>
          <w:b/>
          <w:bCs/>
          <w:i/>
          <w:color w:val="auto"/>
          <w:u w:val="single"/>
          <w:lang w:val="pt-BR"/>
        </w:rPr>
        <w:t>Execução de cobertura com estrutura metálica com telhamento de telha metálica de no mínimo de 300m² de área construida.</w:t>
      </w:r>
    </w:p>
    <w:p>
      <w:pPr>
        <w:rPr>
          <w:rFonts w:ascii="Arial" w:hAnsi="Arial" w:cs="Arial"/>
          <w:sz w:val="20"/>
        </w:rPr>
      </w:pPr>
    </w:p>
    <w:p>
      <w:pPr>
        <w:pStyle w:val="39"/>
        <w:numPr>
          <w:ilvl w:val="2"/>
          <w:numId w:val="11"/>
        </w:numPr>
        <w:ind w:left="1134" w:firstLine="0"/>
        <w:rPr>
          <w:rFonts w:ascii="Arial" w:hAnsi="Arial"/>
          <w:i/>
          <w:color w:val="auto"/>
        </w:rPr>
      </w:pPr>
      <w:r>
        <w:rPr>
          <w:rFonts w:ascii="Arial" w:hAnsi="Arial"/>
          <w:i/>
          <w:color w:val="auto"/>
        </w:rPr>
        <w:t>Os atestados exigidos no subitem anterior, para serem aceitos, deverão ter as seguintes informações:</w:t>
      </w:r>
    </w:p>
    <w:p>
      <w:pPr>
        <w:pStyle w:val="39"/>
        <w:numPr>
          <w:ilvl w:val="3"/>
          <w:numId w:val="11"/>
        </w:numPr>
        <w:rPr>
          <w:rFonts w:ascii="Arial" w:hAnsi="Arial" w:cs="Arial"/>
          <w:color w:val="auto"/>
          <w:sz w:val="20"/>
        </w:rPr>
      </w:pPr>
      <w:r>
        <w:rPr>
          <w:rFonts w:hint="default" w:ascii="Arial" w:hAnsi="Arial"/>
          <w:i/>
          <w:color w:val="auto"/>
          <w:lang w:val="pt-BR"/>
        </w:rPr>
        <w:t>Ser registrado no CREA.</w:t>
      </w:r>
    </w:p>
    <w:p>
      <w:pPr>
        <w:pStyle w:val="39"/>
        <w:numPr>
          <w:ilvl w:val="2"/>
          <w:numId w:val="11"/>
        </w:numPr>
        <w:ind w:left="1134" w:firstLine="0"/>
        <w:rPr>
          <w:rFonts w:ascii="Arial" w:hAnsi="Arial"/>
          <w:i/>
          <w:color w:val="auto"/>
        </w:rPr>
      </w:pPr>
      <w:r>
        <w:rPr>
          <w:rFonts w:ascii="Arial" w:hAnsi="Arial"/>
          <w:i/>
          <w:color w:val="auto"/>
        </w:rPr>
        <w:t xml:space="preserve">Será admitida, para fins de comprovação de quantitativo mínimo do serviço, a apresentação de diferentes atestados de serviços executados de forma concomitante; </w:t>
      </w:r>
    </w:p>
    <w:p>
      <w:pPr>
        <w:pStyle w:val="39"/>
        <w:numPr>
          <w:ilvl w:val="2"/>
          <w:numId w:val="11"/>
        </w:numPr>
        <w:ind w:left="1134" w:firstLine="0"/>
        <w:rPr>
          <w:rFonts w:ascii="Arial" w:hAnsi="Arial"/>
        </w:rPr>
      </w:pPr>
      <w:r>
        <w:rPr>
          <w:rFonts w:ascii="Arial" w:hAnsi="Arial"/>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r>
        <w:rPr>
          <w:rFonts w:hint="default" w:ascii="Arial" w:hAnsi="Arial"/>
          <w:lang w:val="pt-BR"/>
        </w:rPr>
        <w:t xml:space="preserve"> para o engenheiro civil</w:t>
      </w:r>
      <w:r>
        <w:rPr>
          <w:rFonts w:ascii="Arial" w:hAnsi="Arial"/>
        </w:rPr>
        <w:t>:</w:t>
      </w:r>
    </w:p>
    <w:p>
      <w:pPr>
        <w:pStyle w:val="39"/>
        <w:numPr>
          <w:ilvl w:val="3"/>
          <w:numId w:val="11"/>
        </w:numPr>
        <w:rPr>
          <w:rFonts w:ascii="Arial" w:hAnsi="Arial"/>
          <w:b/>
          <w:bCs/>
          <w:i/>
          <w:color w:val="auto"/>
          <w:u w:val="single"/>
        </w:rPr>
      </w:pPr>
      <w:r>
        <w:rPr>
          <w:rFonts w:ascii="Arial" w:hAnsi="Arial" w:eastAsia="Arial"/>
          <w:b/>
          <w:bCs/>
          <w:color w:val="auto"/>
          <w:u w:val="single"/>
        </w:rPr>
        <w:t xml:space="preserve">Execução de </w:t>
      </w:r>
      <w:r>
        <w:rPr>
          <w:rFonts w:hint="default" w:ascii="Arial" w:hAnsi="Arial" w:eastAsia="Arial"/>
          <w:b/>
          <w:bCs/>
          <w:color w:val="auto"/>
          <w:u w:val="single"/>
          <w:lang w:val="pt-BR"/>
        </w:rPr>
        <w:t>estrutura de concreto armado para edificação térrea, com  FCK igual ou maior que 25 MPA no mínimo de 30m³ ou equivalente a 300m² de área construida;</w:t>
      </w:r>
    </w:p>
    <w:p>
      <w:pPr>
        <w:pStyle w:val="39"/>
        <w:numPr>
          <w:ilvl w:val="3"/>
          <w:numId w:val="11"/>
        </w:numPr>
        <w:rPr>
          <w:rFonts w:ascii="Arial" w:hAnsi="Arial"/>
          <w:b/>
          <w:bCs/>
          <w:i/>
          <w:color w:val="auto"/>
          <w:u w:val="single"/>
        </w:rPr>
      </w:pPr>
      <w:r>
        <w:rPr>
          <w:rFonts w:ascii="Arial" w:hAnsi="Arial" w:eastAsia="Arial"/>
          <w:b/>
          <w:bCs/>
          <w:color w:val="auto"/>
          <w:u w:val="single"/>
        </w:rPr>
        <w:t>Execução de no mínimo de</w:t>
      </w:r>
      <w:r>
        <w:rPr>
          <w:rFonts w:hint="default" w:ascii="Arial" w:hAnsi="Arial" w:eastAsia="Arial"/>
          <w:b/>
          <w:bCs/>
          <w:color w:val="auto"/>
          <w:u w:val="single"/>
          <w:lang w:val="pt-BR"/>
        </w:rPr>
        <w:t xml:space="preserve"> 950</w:t>
      </w:r>
      <w:r>
        <w:rPr>
          <w:rFonts w:ascii="Arial" w:hAnsi="Arial" w:eastAsia="Arial"/>
          <w:b/>
          <w:bCs/>
          <w:color w:val="auto"/>
          <w:u w:val="single"/>
        </w:rPr>
        <w:t xml:space="preserve"> m</w:t>
      </w:r>
      <w:r>
        <w:rPr>
          <w:rFonts w:hint="default" w:ascii="Arial" w:hAnsi="Arial" w:eastAsia="Arial"/>
          <w:b/>
          <w:bCs/>
          <w:color w:val="auto"/>
          <w:u w:val="single"/>
          <w:lang w:val="pt-BR"/>
        </w:rPr>
        <w:t>³</w:t>
      </w:r>
      <w:r>
        <w:rPr>
          <w:rFonts w:ascii="Arial" w:hAnsi="Arial" w:eastAsia="Arial"/>
          <w:b/>
          <w:bCs/>
          <w:color w:val="auto"/>
          <w:u w:val="single"/>
        </w:rPr>
        <w:t xml:space="preserve"> </w:t>
      </w:r>
      <w:r>
        <w:rPr>
          <w:rFonts w:hint="default" w:ascii="Arial" w:hAnsi="Arial" w:eastAsia="Arial"/>
          <w:b/>
          <w:bCs/>
          <w:color w:val="auto"/>
          <w:u w:val="single"/>
          <w:lang w:val="pt-BR"/>
        </w:rPr>
        <w:t>de aterro mecanizado de vala;</w:t>
      </w:r>
    </w:p>
    <w:p>
      <w:pPr>
        <w:pStyle w:val="39"/>
        <w:numPr>
          <w:ilvl w:val="3"/>
          <w:numId w:val="11"/>
        </w:numPr>
        <w:rPr>
          <w:rFonts w:ascii="Arial" w:hAnsi="Arial"/>
          <w:b/>
          <w:bCs/>
          <w:i/>
          <w:color w:val="auto"/>
        </w:rPr>
      </w:pPr>
      <w:r>
        <w:rPr>
          <w:rFonts w:hint="default" w:ascii="Arial" w:hAnsi="Arial"/>
          <w:b/>
          <w:bCs/>
          <w:i/>
          <w:color w:val="auto"/>
          <w:u w:val="single"/>
          <w:lang w:val="pt-BR"/>
        </w:rPr>
        <w:t>Execução de cobertura com estrutura metálica com telhamento de telha metálica de no mínimo de 300m² de área construida.</w:t>
      </w:r>
    </w:p>
    <w:p>
      <w:pPr>
        <w:pStyle w:val="39"/>
        <w:numPr>
          <w:ilvl w:val="3"/>
          <w:numId w:val="0"/>
        </w:numPr>
        <w:ind w:left="2410" w:leftChars="0"/>
        <w:rPr>
          <w:rFonts w:ascii="Arial" w:hAnsi="Arial" w:cs="Arial"/>
          <w:sz w:val="20"/>
          <w:lang w:eastAsia="en-US"/>
        </w:rPr>
      </w:pPr>
    </w:p>
    <w:p>
      <w:pPr>
        <w:pStyle w:val="39"/>
        <w:numPr>
          <w:ilvl w:val="2"/>
          <w:numId w:val="11"/>
        </w:numPr>
        <w:ind w:left="1134" w:firstLine="0"/>
        <w:rPr>
          <w:rFonts w:ascii="Arial" w:hAnsi="Arial"/>
        </w:rPr>
      </w:pPr>
      <w:r>
        <w:rPr>
          <w:rFonts w:ascii="Arial" w:hAnsi="Arial"/>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pPr>
        <w:pStyle w:val="46"/>
        <w:keepNext w:val="0"/>
        <w:widowControl/>
        <w:numPr>
          <w:ilvl w:val="2"/>
          <w:numId w:val="11"/>
        </w:numPr>
        <w:spacing w:before="120" w:after="120"/>
        <w:ind w:left="1134" w:firstLine="0"/>
        <w:rPr>
          <w:rFonts w:ascii="Arial" w:hAnsi="Arial"/>
          <w:i/>
          <w:color w:val="auto"/>
        </w:rPr>
      </w:pPr>
      <w:r>
        <w:rPr>
          <w:rFonts w:ascii="Arial" w:hAnsi="Arial" w:cs="Arial"/>
          <w:color w:val="auto"/>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46"/>
        <w:keepNext w:val="0"/>
        <w:widowControl/>
        <w:spacing w:before="120" w:after="120"/>
        <w:ind w:left="1134" w:firstLine="0"/>
        <w:rPr>
          <w:rFonts w:ascii="Arial" w:hAnsi="Arial" w:eastAsia="Times New Roman" w:cs="Arial"/>
          <w:color w:val="auto"/>
          <w:szCs w:val="20"/>
          <w:lang w:eastAsia="pt-BR" w:bidi="ar-SA"/>
        </w:rPr>
      </w:pPr>
    </w:p>
    <w:p>
      <w:pPr>
        <w:pStyle w:val="46"/>
        <w:keepNext w:val="0"/>
        <w:widowControl/>
        <w:numPr>
          <w:ilvl w:val="2"/>
          <w:numId w:val="11"/>
        </w:numPr>
        <w:spacing w:before="120" w:after="120"/>
        <w:ind w:left="1134" w:firstLine="0"/>
        <w:rPr>
          <w:rFonts w:ascii="Arial" w:hAnsi="Arial" w:cs="Arial"/>
          <w:color w:val="auto"/>
          <w:szCs w:val="20"/>
        </w:rPr>
      </w:pPr>
      <w:r>
        <w:rPr>
          <w:rFonts w:ascii="Arial" w:hAnsi="Arial" w:cs="Arial"/>
          <w:color w:val="auto"/>
          <w:szCs w:val="20"/>
        </w:rPr>
        <w:t>Declaração formal de que disporá, por ocasião da futura contratação, das instalações, aparelhamento e pessoal técnico considerados essenciais para a execução contratual, a saber:</w:t>
      </w:r>
    </w:p>
    <w:p>
      <w:pPr>
        <w:pStyle w:val="39"/>
        <w:numPr>
          <w:ilvl w:val="3"/>
          <w:numId w:val="11"/>
        </w:numPr>
        <w:shd w:val="clear"/>
        <w:rPr>
          <w:rFonts w:ascii="Arial" w:hAnsi="Arial"/>
          <w:i/>
          <w:color w:val="auto"/>
        </w:rPr>
      </w:pPr>
      <w:r>
        <w:rPr>
          <w:rFonts w:hint="default" w:ascii="Arial" w:hAnsi="Arial"/>
          <w:i/>
          <w:color w:val="auto"/>
          <w:lang w:val="pt-BR"/>
        </w:rPr>
        <w:t>Administração da obra conforme planilha orçamentária;</w:t>
      </w:r>
    </w:p>
    <w:p>
      <w:pPr>
        <w:pStyle w:val="46"/>
        <w:keepNext w:val="0"/>
        <w:widowControl/>
        <w:numPr>
          <w:ilvl w:val="3"/>
          <w:numId w:val="11"/>
        </w:numPr>
        <w:shd w:val="clear"/>
        <w:spacing w:before="120" w:after="120"/>
        <w:rPr>
          <w:rFonts w:ascii="Arial" w:hAnsi="Arial" w:cs="Arial"/>
          <w:szCs w:val="20"/>
        </w:rPr>
      </w:pPr>
      <w:r>
        <w:rPr>
          <w:rFonts w:hint="default" w:ascii="Arial" w:hAnsi="Arial" w:cs="Arial"/>
          <w:color w:val="auto"/>
          <w:szCs w:val="20"/>
          <w:shd w:val="clear"/>
          <w:lang w:val="pt-BR"/>
        </w:rPr>
        <w:t>I</w:t>
      </w:r>
      <w:r>
        <w:rPr>
          <w:rFonts w:ascii="Arial" w:hAnsi="Arial" w:cs="Arial"/>
          <w:color w:val="auto"/>
          <w:szCs w:val="20"/>
          <w:shd w:val="clear"/>
        </w:rPr>
        <w:t>nstalações</w:t>
      </w:r>
      <w:r>
        <w:rPr>
          <w:rFonts w:ascii="Arial" w:hAnsi="Arial" w:cs="Arial"/>
          <w:color w:val="auto"/>
          <w:szCs w:val="20"/>
        </w:rPr>
        <w:t>, aparelhamento</w:t>
      </w:r>
      <w:r>
        <w:rPr>
          <w:rFonts w:hint="default" w:ascii="Arial" w:hAnsi="Arial" w:cs="Arial"/>
          <w:color w:val="auto"/>
          <w:szCs w:val="20"/>
          <w:lang w:val="pt-BR"/>
        </w:rPr>
        <w:t xml:space="preserve"> necessário para execução da obra conforme o Projeto de Execução.</w:t>
      </w:r>
      <w:r>
        <w:rPr>
          <w:rFonts w:ascii="Arial" w:hAnsi="Arial" w:cs="Arial"/>
          <w:bCs/>
          <w:i/>
          <w:iCs/>
          <w:color w:val="FF0000"/>
          <w:szCs w:val="20"/>
        </w:rPr>
        <w:tab/>
      </w:r>
    </w:p>
    <w:p>
      <w:pPr>
        <w:pStyle w:val="30"/>
        <w:spacing w:line="276" w:lineRule="auto"/>
        <w:jc w:val="both"/>
        <w:rPr>
          <w:rFonts w:ascii="Arial" w:hAnsi="Arial" w:cs="Arial"/>
          <w:bCs/>
          <w:i/>
          <w:color w:val="FF0000"/>
          <w:sz w:val="20"/>
        </w:rPr>
      </w:pPr>
    </w:p>
    <w:p>
      <w:pPr>
        <w:pStyle w:val="46"/>
        <w:keepNext w:val="0"/>
        <w:widowControl/>
        <w:numPr>
          <w:ilvl w:val="2"/>
          <w:numId w:val="11"/>
        </w:numPr>
        <w:spacing w:before="120" w:after="120"/>
        <w:ind w:left="1134" w:firstLine="0"/>
        <w:rPr>
          <w:rFonts w:ascii="Arial" w:hAnsi="Arial" w:cs="Arial"/>
          <w:bCs/>
          <w:i/>
          <w:color w:val="auto"/>
          <w:szCs w:val="20"/>
        </w:rPr>
      </w:pPr>
      <w:bookmarkStart w:id="0" w:name="_Hlk518983267"/>
      <w:r>
        <w:rPr>
          <w:rFonts w:ascii="Arial" w:hAnsi="Arial" w:cs="Arial"/>
          <w:bCs/>
          <w:i/>
          <w:color w:val="auto"/>
          <w:szCs w:val="20"/>
        </w:rPr>
        <w:t xml:space="preserve">Atestado de vistoria assinado pelo servidor responsável, caso exigida </w:t>
      </w:r>
      <w:r>
        <w:rPr>
          <w:rFonts w:ascii="Arial" w:hAnsi="Arial" w:cs="Arial"/>
          <w:color w:val="auto"/>
          <w:szCs w:val="20"/>
        </w:rPr>
        <w:t>no</w:t>
      </w:r>
      <w:r>
        <w:rPr>
          <w:rFonts w:ascii="Arial" w:hAnsi="Arial" w:cs="Arial"/>
          <w:bCs/>
          <w:i/>
          <w:color w:val="auto"/>
          <w:szCs w:val="20"/>
        </w:rPr>
        <w:t xml:space="preserve"> Projeto Básico.</w:t>
      </w:r>
    </w:p>
    <w:p>
      <w:pPr>
        <w:pStyle w:val="46"/>
        <w:keepNext w:val="0"/>
        <w:widowControl/>
        <w:numPr>
          <w:ilvl w:val="3"/>
          <w:numId w:val="11"/>
        </w:numPr>
        <w:spacing w:before="120" w:after="120"/>
        <w:rPr>
          <w:rFonts w:ascii="Arial" w:hAnsi="Arial" w:eastAsia="Arial"/>
          <w:b/>
          <w:sz w:val="20"/>
          <w:szCs w:val="20"/>
          <w:u w:val="single"/>
        </w:rPr>
      </w:pPr>
      <w:r>
        <w:rPr>
          <w:rFonts w:ascii="Arial" w:hAnsi="Arial" w:cs="Arial"/>
          <w:b/>
          <w:bCs/>
          <w:i/>
          <w:iCs/>
          <w:color w:val="auto"/>
          <w:szCs w:val="20"/>
          <w:u w:val="single"/>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pPr>
        <w:pStyle w:val="46"/>
        <w:keepNext w:val="0"/>
        <w:widowControl/>
        <w:numPr>
          <w:ilvl w:val="3"/>
          <w:numId w:val="11"/>
        </w:numPr>
        <w:spacing w:before="120" w:after="120"/>
        <w:rPr>
          <w:rFonts w:ascii="Arial" w:hAnsi="Arial" w:eastAsia="Arial"/>
          <w:sz w:val="20"/>
          <w:szCs w:val="20"/>
        </w:rPr>
      </w:pPr>
      <w:r>
        <w:rPr>
          <w:rFonts w:ascii="Arial" w:hAnsi="Arial" w:eastAsia="Arial"/>
          <w:b/>
          <w:sz w:val="20"/>
          <w:szCs w:val="20"/>
          <w:u w:val="single"/>
        </w:rPr>
        <w:t>A vistoria será acompanhada por servidor designado para esse fim, de segunda à sexta-feira, das 08:00 horas às 11:00 horas, devendo o agendamento ser efetuado previamente pelo telefone (66) 3564-2602 ou</w:t>
      </w:r>
      <w:bookmarkStart w:id="1" w:name="page12"/>
      <w:bookmarkEnd w:id="1"/>
      <w:r>
        <w:rPr>
          <w:rFonts w:ascii="Arial" w:hAnsi="Arial" w:eastAsia="Arial"/>
          <w:b/>
          <w:sz w:val="20"/>
          <w:szCs w:val="20"/>
          <w:u w:val="single"/>
        </w:rPr>
        <w:drawing>
          <wp:anchor distT="0" distB="0" distL="114300" distR="114300" simplePos="0" relativeHeight="251681792" behindDoc="1" locked="0" layoutInCell="1" allowOverlap="1">
            <wp:simplePos x="0" y="0"/>
            <wp:positionH relativeFrom="page">
              <wp:posOffset>3626485</wp:posOffset>
            </wp:positionH>
            <wp:positionV relativeFrom="page">
              <wp:posOffset>450215</wp:posOffset>
            </wp:positionV>
            <wp:extent cx="666750" cy="619125"/>
            <wp:effectExtent l="0" t="0" r="0" b="9525"/>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66750" cy="619125"/>
                    </a:xfrm>
                    <a:prstGeom prst="rect">
                      <a:avLst/>
                    </a:prstGeom>
                    <a:noFill/>
                    <a:ln>
                      <a:noFill/>
                    </a:ln>
                  </pic:spPr>
                </pic:pic>
              </a:graphicData>
            </a:graphic>
          </wp:anchor>
        </w:drawing>
      </w:r>
      <w:r>
        <w:rPr>
          <w:rFonts w:ascii="Arial" w:hAnsi="Arial" w:eastAsia="Arial"/>
          <w:b/>
          <w:sz w:val="20"/>
          <w:szCs w:val="20"/>
          <w:u w:val="single"/>
        </w:rPr>
        <w:t xml:space="preserve"> 3564-2604.</w:t>
      </w:r>
    </w:p>
    <w:p>
      <w:pPr>
        <w:pStyle w:val="46"/>
        <w:keepNext w:val="0"/>
        <w:widowControl/>
        <w:numPr>
          <w:ilvl w:val="3"/>
          <w:numId w:val="11"/>
        </w:numPr>
        <w:spacing w:before="120" w:after="120"/>
        <w:rPr>
          <w:rFonts w:ascii="Arial" w:hAnsi="Arial" w:eastAsia="Arial"/>
          <w:b/>
          <w:bCs/>
          <w:sz w:val="20"/>
          <w:szCs w:val="20"/>
          <w:u w:val="single"/>
        </w:rPr>
      </w:pPr>
      <w:r>
        <w:rPr>
          <w:rFonts w:eastAsia="Times New Roman"/>
          <w:sz w:val="20"/>
          <w:szCs w:val="20"/>
        </w:rPr>
        <w:tab/>
      </w:r>
      <w:r>
        <w:rPr>
          <w:rFonts w:ascii="Arial" w:hAnsi="Arial" w:eastAsia="Arial"/>
          <w:b/>
          <w:bCs/>
          <w:sz w:val="20"/>
          <w:szCs w:val="20"/>
          <w:u w:val="single"/>
        </w:rPr>
        <w:t>O prazo para vistoria iniciar-se-á no dia útil seguinte ao da publicação do Edital, estendendo-se até o quinto dia útil anterior à data prevista para abertura dos envelopes;</w:t>
      </w:r>
    </w:p>
    <w:p>
      <w:pPr>
        <w:pStyle w:val="46"/>
        <w:keepNext w:val="0"/>
        <w:widowControl/>
        <w:numPr>
          <w:ilvl w:val="3"/>
          <w:numId w:val="11"/>
        </w:numPr>
        <w:spacing w:before="120" w:after="120"/>
        <w:rPr>
          <w:rFonts w:ascii="Arial" w:hAnsi="Arial" w:eastAsia="Arial"/>
          <w:b/>
          <w:bCs/>
          <w:sz w:val="20"/>
          <w:szCs w:val="20"/>
          <w:u w:val="single"/>
        </w:rPr>
      </w:pPr>
      <w:r>
        <w:rPr>
          <w:rFonts w:eastAsia="Times New Roman"/>
          <w:b/>
          <w:bCs/>
          <w:sz w:val="20"/>
          <w:szCs w:val="20"/>
          <w:u w:val="single"/>
        </w:rPr>
        <w:tab/>
      </w:r>
      <w:r>
        <w:rPr>
          <w:rFonts w:ascii="Arial" w:hAnsi="Arial" w:eastAsia="Arial"/>
          <w:b/>
          <w:bCs/>
          <w:sz w:val="20"/>
          <w:szCs w:val="20"/>
          <w:u w:val="single"/>
        </w:rPr>
        <w:t>Para a vistoria o licitante, ou o seu representante legal, deverá estar devidamente identificado, apresentando documento de identidade civil e documento expedido pela empresa comprovando sua habilitação para o ato.</w:t>
      </w:r>
    </w:p>
    <w:p>
      <w:pPr>
        <w:pStyle w:val="46"/>
        <w:keepNext w:val="0"/>
        <w:widowControl/>
        <w:numPr>
          <w:ilvl w:val="3"/>
          <w:numId w:val="11"/>
        </w:numPr>
        <w:spacing w:before="120" w:after="120"/>
        <w:rPr>
          <w:rFonts w:ascii="Arial" w:hAnsi="Arial" w:cs="Arial"/>
          <w:b/>
          <w:bCs/>
          <w:i/>
          <w:iCs/>
          <w:color w:val="auto"/>
          <w:szCs w:val="20"/>
          <w:u w:val="single"/>
        </w:rPr>
      </w:pPr>
      <w:r>
        <w:rPr>
          <w:rFonts w:eastAsia="Times New Roman"/>
          <w:b/>
          <w:bCs/>
          <w:sz w:val="20"/>
          <w:szCs w:val="20"/>
          <w:u w:val="single"/>
        </w:rPr>
        <w:tab/>
      </w:r>
      <w:r>
        <w:rPr>
          <w:rFonts w:ascii="Arial" w:hAnsi="Arial" w:eastAsia="Arial"/>
          <w:b/>
          <w:bCs/>
          <w:sz w:val="20"/>
          <w:szCs w:val="20"/>
          <w:u w:val="single"/>
        </w:rPr>
        <w:t>Eventuais dúvidas de natureza técnica decorrentes da realização da vistoria deverão ser encaminhadas à Comissão de Licitação, mediante correio eletrônico para o e-mail: cpl@cfs.ifmt.edu.br, antes da data fixada para a sessão pública.</w:t>
      </w:r>
    </w:p>
    <w:p>
      <w:pPr>
        <w:pStyle w:val="46"/>
        <w:keepNext w:val="0"/>
        <w:widowControl/>
        <w:numPr>
          <w:ilvl w:val="3"/>
          <w:numId w:val="11"/>
        </w:numPr>
        <w:spacing w:before="120" w:after="120"/>
        <w:rPr>
          <w:rFonts w:ascii="Arial" w:hAnsi="Arial" w:cs="Arial"/>
          <w:b/>
          <w:bCs/>
          <w:i/>
          <w:iCs/>
          <w:color w:val="auto"/>
          <w:szCs w:val="20"/>
          <w:u w:val="single"/>
        </w:rPr>
      </w:pPr>
      <w:r>
        <w:rPr>
          <w:rFonts w:eastAsia="Times New Roman"/>
        </w:rPr>
        <w:tab/>
      </w:r>
      <w:r>
        <w:rPr>
          <w:rFonts w:ascii="Arial" w:hAnsi="Arial" w:eastAsia="Arial"/>
          <w:b/>
          <w:bCs/>
          <w:color w:val="auto"/>
          <w:u w:val="single"/>
        </w:rPr>
        <w:t>A não realização de vistoria não poderá ser alegada como fundamento para o inadimplemento total ou parcial de obrigações previstas em quaisquer documentos integrantes do instrumento convocatório.</w:t>
      </w:r>
    </w:p>
    <w:p>
      <w:pPr>
        <w:pStyle w:val="46"/>
        <w:keepNext w:val="0"/>
        <w:widowControl/>
        <w:numPr>
          <w:ilvl w:val="0"/>
          <w:numId w:val="0"/>
        </w:numPr>
        <w:spacing w:before="120" w:after="120"/>
        <w:ind w:left="2410" w:leftChars="0"/>
        <w:rPr>
          <w:rFonts w:ascii="Arial" w:hAnsi="Arial" w:cs="Arial"/>
          <w:b/>
          <w:bCs/>
          <w:i/>
          <w:iCs/>
          <w:color w:val="auto"/>
          <w:szCs w:val="20"/>
          <w:u w:val="single"/>
        </w:rPr>
      </w:pPr>
    </w:p>
    <w:bookmarkEnd w:id="0"/>
    <w:p>
      <w:pPr>
        <w:pStyle w:val="30"/>
        <w:widowControl/>
        <w:numPr>
          <w:ilvl w:val="1"/>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Em relação às licitantes cooperativas será, ainda, exigida a seguinte documentação complementar no envelope n. 1, conforme item 10.5 do Anexo VII-A da IN SEGES/MP n. 5/2017:</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A declaração de regularidade de situação do contribuinte individual – DRSCI, para cada um dos cooperados indicados;</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 xml:space="preserve">A comprovação do capital social proporcional ao número de cooperados necessários à prestação do serviço; </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O registro previsto na Lei n. 5.764/71, art. 107;</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 xml:space="preserve"> A comprovação de integração das respectivas quotas-partes por parte dos cooperados que executarão o contrato; e</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30"/>
        <w:widowControl/>
        <w:numPr>
          <w:ilvl w:val="2"/>
          <w:numId w:val="11"/>
        </w:numPr>
        <w:tabs>
          <w:tab w:val="left" w:pos="1440"/>
        </w:tabs>
        <w:suppressAutoHyphens w:val="0"/>
        <w:autoSpaceDE w:val="0"/>
        <w:snapToGrid w:val="0"/>
        <w:spacing w:before="120" w:after="120" w:line="276" w:lineRule="auto"/>
        <w:jc w:val="both"/>
        <w:rPr>
          <w:rFonts w:ascii="Arial" w:hAnsi="Arial" w:cs="Arial"/>
          <w:i/>
          <w:color w:val="auto"/>
          <w:sz w:val="20"/>
          <w:highlight w:val="none"/>
        </w:rPr>
      </w:pPr>
      <w:r>
        <w:rPr>
          <w:rFonts w:ascii="Arial" w:hAnsi="Arial" w:cs="Arial"/>
          <w:i/>
          <w:color w:val="auto"/>
          <w:sz w:val="20"/>
          <w:highlight w:val="none"/>
        </w:rPr>
        <w:t>A última auditoria contábil-financeira da cooperativa, conforme dispõe o art. 112 da Lei n. 5.764/71 ou uma declaração, sob as penas da lei, de que tal auditoria não foi exigida pelo órgão fiscalizador.</w:t>
      </w:r>
    </w:p>
    <w:p>
      <w:pPr>
        <w:pStyle w:val="30"/>
        <w:widowControl/>
        <w:numPr>
          <w:ilvl w:val="1"/>
          <w:numId w:val="11"/>
        </w:numPr>
        <w:suppressAutoHyphens w:val="0"/>
        <w:spacing w:before="120" w:after="120" w:line="276" w:lineRule="auto"/>
        <w:contextualSpacing w:val="0"/>
        <w:jc w:val="both"/>
        <w:rPr>
          <w:rFonts w:ascii="Arial" w:hAnsi="Arial" w:cs="Arial"/>
          <w:bCs/>
          <w:iCs/>
          <w:color w:val="000000"/>
          <w:sz w:val="20"/>
        </w:rPr>
      </w:pPr>
      <w:r>
        <w:rPr>
          <w:rFonts w:ascii="Arial" w:hAnsi="Arial" w:cs="Arial"/>
          <w:bCs/>
          <w:iCs/>
          <w:color w:val="000000"/>
          <w:sz w:val="20"/>
        </w:rPr>
        <w:t>Todos os licitantes, cadastrados ou não no SICAF, deverão apresentar, ainda, no envelope nº 1:</w:t>
      </w:r>
    </w:p>
    <w:p>
      <w:pPr>
        <w:pStyle w:val="30"/>
        <w:widowControl/>
        <w:numPr>
          <w:ilvl w:val="2"/>
          <w:numId w:val="11"/>
        </w:numPr>
        <w:suppressAutoHyphens w:val="0"/>
        <w:spacing w:before="120" w:after="120" w:line="276" w:lineRule="auto"/>
        <w:contextualSpacing w:val="0"/>
        <w:jc w:val="both"/>
        <w:rPr>
          <w:rFonts w:ascii="Arial" w:hAnsi="Arial" w:cs="Arial"/>
          <w:bCs/>
          <w:iCs/>
          <w:color w:val="000000"/>
          <w:sz w:val="20"/>
        </w:rPr>
      </w:pPr>
      <w:r>
        <w:rPr>
          <w:rFonts w:ascii="Arial" w:hAnsi="Arial" w:cs="Arial"/>
          <w:bCs/>
          <w:iCs/>
          <w:color w:val="000000"/>
          <w:sz w:val="20"/>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Pr>
          <w:rFonts w:ascii="Arial" w:hAnsi="Arial" w:cs="Arial"/>
          <w:bCs/>
          <w:iCs/>
          <w:color w:val="000000"/>
          <w:sz w:val="20"/>
          <w:highlight w:val="none"/>
          <w:shd w:val="clear" w:fill="FFFFFF" w:themeFill="background1"/>
        </w:rPr>
        <w:t xml:space="preserve">ANEXO </w:t>
      </w:r>
      <w:r>
        <w:rPr>
          <w:rFonts w:hint="default" w:ascii="Arial" w:hAnsi="Arial" w:cs="Arial"/>
          <w:bCs/>
          <w:iCs/>
          <w:color w:val="000000"/>
          <w:sz w:val="20"/>
          <w:highlight w:val="none"/>
          <w:shd w:val="clear" w:fill="FFFFFF" w:themeFill="background1"/>
          <w:lang w:val="pt-BR"/>
        </w:rPr>
        <w:t>XI</w:t>
      </w:r>
      <w:r>
        <w:rPr>
          <w:rFonts w:ascii="Arial" w:hAnsi="Arial" w:cs="Arial"/>
          <w:bCs/>
          <w:iCs/>
          <w:color w:val="FF0000"/>
          <w:sz w:val="20"/>
          <w:highlight w:val="none"/>
          <w:shd w:val="clear" w:fill="FFFFFF" w:themeFill="background1"/>
        </w:rPr>
        <w:t>;</w:t>
      </w:r>
    </w:p>
    <w:p>
      <w:pPr>
        <w:widowControl/>
        <w:numPr>
          <w:ilvl w:val="1"/>
          <w:numId w:val="11"/>
        </w:numPr>
        <w:suppressAutoHyphens w:val="0"/>
        <w:spacing w:before="120" w:after="120" w:line="276" w:lineRule="auto"/>
        <w:ind w:left="839" w:hanging="499"/>
        <w:jc w:val="both"/>
        <w:rPr>
          <w:rFonts w:ascii="Arial" w:hAnsi="Arial" w:cs="Arial"/>
          <w:sz w:val="20"/>
        </w:rPr>
      </w:pPr>
      <w:r>
        <w:rPr>
          <w:rFonts w:ascii="Arial" w:hAnsi="Arial" w:cs="Arial"/>
          <w:bCs/>
          <w:iCs/>
          <w:color w:val="000000"/>
          <w:sz w:val="20"/>
        </w:rPr>
        <w:t>Os documentos para habilitação poderão ser apresentados em original, por qualquer</w:t>
      </w:r>
      <w:r>
        <w:rPr>
          <w:rFonts w:ascii="Arial" w:hAnsi="Arial" w:cs="Arial"/>
          <w:sz w:val="20"/>
        </w:rPr>
        <w:t xml:space="preserve"> processo de cópia autenticada por cartório competente ou por servidor da Administração, ou publicação em órgão da imprensa oficial.</w:t>
      </w:r>
    </w:p>
    <w:p>
      <w:pPr>
        <w:pStyle w:val="30"/>
        <w:widowControl/>
        <w:numPr>
          <w:ilvl w:val="1"/>
          <w:numId w:val="11"/>
        </w:numPr>
        <w:tabs>
          <w:tab w:val="left" w:pos="1440"/>
        </w:tabs>
        <w:suppressAutoHyphens w:val="0"/>
        <w:autoSpaceDE w:val="0"/>
        <w:snapToGrid w:val="0"/>
        <w:spacing w:before="120" w:after="120" w:line="276" w:lineRule="auto"/>
        <w:jc w:val="both"/>
        <w:rPr>
          <w:rFonts w:ascii="Arial" w:hAnsi="Arial" w:cs="Arial"/>
          <w:color w:val="000000"/>
          <w:sz w:val="20"/>
        </w:rPr>
      </w:pPr>
      <w:r>
        <w:rPr>
          <w:rFonts w:ascii="Arial" w:hAnsi="Arial" w:cs="Arial"/>
          <w:color w:val="000000"/>
          <w:sz w:val="20"/>
        </w:rPr>
        <w:t>Não</w:t>
      </w:r>
      <w:r>
        <w:rPr>
          <w:rFonts w:ascii="Arial" w:hAnsi="Arial" w:cs="Arial"/>
          <w:bCs/>
          <w:sz w:val="20"/>
        </w:rPr>
        <w:t xml:space="preserve"> serão aceitos documentos com indicação de CNPJ/CPF diferentes, salvo aqueles legalmente permitidos.</w:t>
      </w:r>
    </w:p>
    <w:p>
      <w:pPr>
        <w:pStyle w:val="30"/>
        <w:widowControl/>
        <w:numPr>
          <w:ilvl w:val="2"/>
          <w:numId w:val="11"/>
        </w:numPr>
        <w:suppressAutoHyphens w:val="0"/>
        <w:spacing w:before="120" w:after="120" w:line="276" w:lineRule="auto"/>
        <w:jc w:val="both"/>
        <w:rPr>
          <w:rFonts w:ascii="Arial" w:hAnsi="Arial" w:cs="Arial"/>
          <w:color w:val="000000"/>
          <w:sz w:val="20"/>
        </w:rPr>
      </w:pPr>
      <w:r>
        <w:rPr>
          <w:rFonts w:ascii="Arial" w:hAnsi="Arial" w:cs="Arial"/>
          <w:color w:val="000000"/>
          <w:sz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30"/>
        <w:widowControl/>
        <w:numPr>
          <w:ilvl w:val="2"/>
          <w:numId w:val="11"/>
        </w:numPr>
        <w:suppressAutoHyphens w:val="0"/>
        <w:spacing w:before="120" w:after="120" w:line="276" w:lineRule="auto"/>
        <w:jc w:val="both"/>
        <w:rPr>
          <w:rFonts w:ascii="Arial" w:hAnsi="Arial" w:cs="Arial"/>
          <w:color w:val="000000"/>
          <w:sz w:val="20"/>
        </w:rPr>
      </w:pPr>
      <w:r>
        <w:rPr>
          <w:rFonts w:ascii="Arial" w:hAnsi="Arial" w:cs="Arial"/>
          <w:color w:val="000000"/>
          <w:sz w:val="20"/>
        </w:rPr>
        <w:t>Serão aceitos registros de CNPJ de licitante matriz e filial com diferenças de números de documentos pertinentes ao CND e ao CRF/FGTS, quando for comprovada a centralização do recolhimento dessas contribuições.</w:t>
      </w:r>
    </w:p>
    <w:p>
      <w:pPr>
        <w:pStyle w:val="30"/>
        <w:widowControl/>
        <w:numPr>
          <w:ilvl w:val="1"/>
          <w:numId w:val="11"/>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sz w:val="20"/>
        </w:rPr>
        <w:t>A existência de restrição relativamente à regularidade fiscal e trabalhista não impede que a licitante qualificada como microempresa ou empresa de pequeno porte seja habilitada, uma vez que atenda a todas as demais exigências do edital.</w:t>
      </w:r>
    </w:p>
    <w:p>
      <w:pPr>
        <w:pStyle w:val="30"/>
        <w:widowControl/>
        <w:numPr>
          <w:ilvl w:val="1"/>
          <w:numId w:val="11"/>
        </w:numPr>
        <w:suppressAutoHyphens w:val="0"/>
        <w:spacing w:before="120" w:after="120" w:line="276" w:lineRule="auto"/>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sz w:val="20"/>
          <w:lang w:eastAsia="en-US"/>
        </w:rPr>
        <w:t>Constatado o atendimento às exigências de habilitação fixadas no Edital, o licitante estará habilitado para a fase de classificação.</w:t>
      </w:r>
    </w:p>
    <w:p>
      <w:pPr>
        <w:spacing w:before="120" w:after="120"/>
        <w:jc w:val="both"/>
        <w:rPr>
          <w:rFonts w:ascii="Arial" w:hAnsi="Arial" w:cs="Arial"/>
          <w:sz w:val="20"/>
        </w:rPr>
      </w:pPr>
    </w:p>
    <w:p>
      <w:pPr>
        <w:pStyle w:val="30"/>
        <w:numPr>
          <w:ilvl w:val="0"/>
          <w:numId w:val="12"/>
        </w:numPr>
        <w:spacing w:after="120" w:line="276" w:lineRule="auto"/>
        <w:contextualSpacing w:val="0"/>
        <w:jc w:val="both"/>
        <w:rPr>
          <w:rFonts w:ascii="Arial" w:hAnsi="Arial" w:cs="Arial"/>
          <w:b/>
          <w:vanish/>
          <w:sz w:val="20"/>
        </w:rPr>
      </w:pPr>
    </w:p>
    <w:p>
      <w:pPr>
        <w:numPr>
          <w:ilvl w:val="0"/>
          <w:numId w:val="12"/>
        </w:numPr>
        <w:spacing w:after="120" w:line="276" w:lineRule="auto"/>
        <w:jc w:val="both"/>
        <w:rPr>
          <w:rFonts w:ascii="Arial" w:hAnsi="Arial" w:cs="Arial"/>
          <w:b/>
          <w:sz w:val="20"/>
        </w:rPr>
      </w:pPr>
      <w:r>
        <w:rPr>
          <w:rFonts w:ascii="Arial" w:hAnsi="Arial" w:cs="Arial"/>
          <w:b/>
          <w:sz w:val="20"/>
        </w:rPr>
        <w:t>DA PROPOSTA</w:t>
      </w:r>
    </w:p>
    <w:p>
      <w:pPr>
        <w:pStyle w:val="6"/>
        <w:widowControl/>
        <w:numPr>
          <w:ilvl w:val="1"/>
          <w:numId w:val="13"/>
        </w:numPr>
        <w:suppressAutoHyphens w:val="0"/>
        <w:spacing w:before="120" w:line="276" w:lineRule="auto"/>
        <w:jc w:val="both"/>
        <w:rPr>
          <w:rFonts w:ascii="Arial" w:hAnsi="Arial" w:cs="Arial"/>
          <w:sz w:val="20"/>
        </w:rPr>
      </w:pPr>
      <w:r>
        <w:rPr>
          <w:rFonts w:ascii="Arial" w:hAnsi="Arial" w:cs="Arial"/>
          <w:sz w:val="20"/>
        </w:rPr>
        <w:t>A proposta de preço, apresentada no envelope nº 2, será redigida no idioma pátrio, impressa, rubricada em todas as suas páginas e ao final firmada pelo representante legal da empresa licitante, sem emendas, entrelinhas ou ressalvas, devendo conter:</w:t>
      </w:r>
    </w:p>
    <w:p>
      <w:pPr>
        <w:pStyle w:val="30"/>
        <w:widowControl/>
        <w:numPr>
          <w:ilvl w:val="2"/>
          <w:numId w:val="13"/>
        </w:numPr>
        <w:suppressAutoHyphens w:val="0"/>
        <w:spacing w:before="120" w:after="120" w:line="276" w:lineRule="auto"/>
        <w:contextualSpacing w:val="0"/>
        <w:jc w:val="both"/>
        <w:rPr>
          <w:rFonts w:ascii="Arial" w:hAnsi="Arial" w:cs="Arial"/>
          <w:sz w:val="20"/>
        </w:rPr>
      </w:pPr>
      <w:r>
        <w:rPr>
          <w:rFonts w:ascii="Arial" w:hAnsi="Arial" w:cs="Arial"/>
          <w:sz w:val="20"/>
        </w:rPr>
        <w:t>a razão social e CNPJ da empresa licitante;</w:t>
      </w:r>
    </w:p>
    <w:p>
      <w:pPr>
        <w:pStyle w:val="6"/>
        <w:numPr>
          <w:ilvl w:val="2"/>
          <w:numId w:val="13"/>
        </w:numPr>
        <w:spacing w:before="120" w:line="276" w:lineRule="auto"/>
        <w:jc w:val="both"/>
        <w:rPr>
          <w:rFonts w:ascii="Arial" w:hAnsi="Arial" w:cs="Arial"/>
          <w:sz w:val="20"/>
        </w:rPr>
      </w:pPr>
      <w:r>
        <w:rPr>
          <w:rFonts w:ascii="Arial" w:hAnsi="Arial" w:cs="Arial"/>
          <w:sz w:val="20"/>
        </w:rPr>
        <w:t>descrição do objeto de forma clara, observadas as especificações constantes do Projeto Básico e demais documentos técnicos anexos;</w:t>
      </w:r>
    </w:p>
    <w:p>
      <w:pPr>
        <w:pStyle w:val="6"/>
        <w:numPr>
          <w:ilvl w:val="2"/>
          <w:numId w:val="13"/>
        </w:numPr>
        <w:spacing w:before="120" w:line="276" w:lineRule="auto"/>
        <w:jc w:val="both"/>
        <w:rPr>
          <w:rStyle w:val="31"/>
          <w:color w:val="auto"/>
        </w:rPr>
      </w:pPr>
      <w:r>
        <w:rPr>
          <w:rFonts w:ascii="Arial" w:hAnsi="Arial" w:cs="Arial"/>
          <w:sz w:val="20"/>
        </w:rPr>
        <w:t>preços unitários e valor global da proposta, em algarismo, expresso em moeda corrente nacional (real), de acordo com os preços praticados no mercado, considerando o modelo de Planilha Orçamentária anexo ao Edital;</w:t>
      </w:r>
    </w:p>
    <w:p>
      <w:pPr>
        <w:pStyle w:val="6"/>
        <w:numPr>
          <w:ilvl w:val="2"/>
          <w:numId w:val="13"/>
        </w:numPr>
        <w:spacing w:before="120" w:line="276" w:lineRule="auto"/>
        <w:jc w:val="both"/>
        <w:rPr>
          <w:rStyle w:val="31"/>
          <w:color w:val="auto"/>
        </w:rPr>
      </w:pPr>
      <w:r>
        <w:rPr>
          <w:rStyle w:val="31"/>
          <w:color w:val="auto"/>
        </w:rPr>
        <w:t xml:space="preserve">a Planilha de Custos e Formação de Preços, conforme </w:t>
      </w:r>
      <w:r>
        <w:rPr>
          <w:rStyle w:val="31"/>
          <w:b/>
          <w:bCs/>
          <w:color w:val="auto"/>
          <w:highlight w:val="none"/>
        </w:rPr>
        <w:t xml:space="preserve">ANEXO </w:t>
      </w:r>
      <w:r>
        <w:rPr>
          <w:rStyle w:val="31"/>
          <w:rFonts w:hint="default" w:ascii="Arial"/>
          <w:b/>
          <w:bCs/>
          <w:color w:val="auto"/>
          <w:highlight w:val="none"/>
          <w:lang w:val="pt-BR"/>
        </w:rPr>
        <w:t>IV</w:t>
      </w:r>
      <w:r>
        <w:rPr>
          <w:rStyle w:val="31"/>
          <w:b/>
          <w:bCs/>
          <w:color w:val="auto"/>
          <w:highlight w:val="none"/>
        </w:rPr>
        <w:t>.</w:t>
      </w:r>
    </w:p>
    <w:p>
      <w:pPr>
        <w:pStyle w:val="46"/>
        <w:keepNext w:val="0"/>
        <w:widowControl/>
        <w:numPr>
          <w:ilvl w:val="3"/>
          <w:numId w:val="13"/>
        </w:numPr>
        <w:spacing w:before="120" w:after="120"/>
        <w:ind w:left="3130"/>
        <w:textAlignment w:val="auto"/>
        <w:rPr>
          <w:rFonts w:ascii="Arial" w:hAnsi="Arial" w:eastAsia="Times New Roman" w:cs="Arial"/>
          <w:szCs w:val="20"/>
        </w:rPr>
      </w:pPr>
      <w:r>
        <w:rPr>
          <w:rFonts w:ascii="Arial" w:hAnsi="Arial" w:cs="Arial"/>
          <w:szCs w:val="20"/>
        </w:rPr>
        <w:t>Na composição dos preços unitários o licitante deverá apresentar discriminadamente as parcelas relativas à mão de obra, materiais, equipamentos e serviços;</w:t>
      </w:r>
    </w:p>
    <w:p>
      <w:pPr>
        <w:pStyle w:val="46"/>
        <w:keepNext w:val="0"/>
        <w:widowControl/>
        <w:numPr>
          <w:ilvl w:val="3"/>
          <w:numId w:val="13"/>
        </w:numPr>
        <w:spacing w:before="120" w:after="120"/>
        <w:ind w:left="3130"/>
        <w:textAlignment w:val="auto"/>
        <w:rPr>
          <w:rFonts w:ascii="Arial" w:hAnsi="Arial" w:eastAsia="Times New Roman" w:cs="Arial"/>
          <w:szCs w:val="20"/>
        </w:rPr>
      </w:pPr>
      <w:r>
        <w:rPr>
          <w:rFonts w:ascii="Arial" w:hAnsi="Arial" w:cs="Arial"/>
          <w:szCs w:val="20"/>
        </w:rPr>
        <w:t xml:space="preserve">Nos preços cotados deverão estar incluídos </w:t>
      </w:r>
      <w:r>
        <w:rPr>
          <w:rStyle w:val="31"/>
          <w:color w:val="auto"/>
          <w:szCs w:val="20"/>
        </w:rPr>
        <w:t>custos operacionais, encargos previdenciários, trabalhistas, tributários, comerciais e quaisquer outros que incidam direta ou indiretamente na execução do objeto</w:t>
      </w:r>
      <w:r>
        <w:rPr>
          <w:rFonts w:ascii="Arial" w:hAnsi="Arial" w:cs="Arial"/>
          <w:szCs w:val="20"/>
        </w:rPr>
        <w:t xml:space="preserve"> e todos os insumos que os compõem, tais como despesas com impostos, taxas, fretes, seguros e quaisquer outros que incidam na contratação do objeto;</w:t>
      </w:r>
    </w:p>
    <w:p>
      <w:pPr>
        <w:pStyle w:val="46"/>
        <w:keepNext w:val="0"/>
        <w:widowControl/>
        <w:numPr>
          <w:ilvl w:val="3"/>
          <w:numId w:val="13"/>
        </w:numPr>
        <w:spacing w:before="120" w:after="120"/>
        <w:ind w:left="3130"/>
        <w:textAlignment w:val="auto"/>
        <w:rPr>
          <w:rFonts w:ascii="Arial" w:hAnsi="Arial" w:eastAsia="Times New Roman" w:cs="Arial"/>
        </w:rPr>
      </w:pPr>
      <w:r>
        <w:rPr>
          <w:rFonts w:ascii="Arial" w:hAnsi="Arial" w:cs="Arial"/>
          <w:szCs w:val="20"/>
        </w:rPr>
        <w:t>Todos os dados informados pelo licitante em sua planilha deverão refletir com fidelidade os custos especificados e a margem de lucro pretendida;</w:t>
      </w:r>
    </w:p>
    <w:p>
      <w:pPr>
        <w:pStyle w:val="46"/>
        <w:keepNext w:val="0"/>
        <w:widowControl/>
        <w:numPr>
          <w:ilvl w:val="3"/>
          <w:numId w:val="13"/>
        </w:numPr>
        <w:spacing w:before="120" w:after="120"/>
        <w:ind w:left="3130"/>
        <w:textAlignment w:val="auto"/>
        <w:rPr>
          <w:rFonts w:ascii="Arial" w:hAnsi="Arial" w:eastAsia="Times New Roman" w:cs="Arial"/>
        </w:rPr>
      </w:pPr>
      <w:r>
        <w:rPr>
          <w:rFonts w:ascii="Arial" w:hAnsi="Arial" w:eastAsia="Times New Roman" w:cs="Arial"/>
        </w:rPr>
        <w:t>Não se admitirá, na proposta de preços, custos identificados mediante o uso da expressão "verba" ou de unidades genéricas.</w:t>
      </w:r>
    </w:p>
    <w:p>
      <w:pPr>
        <w:pStyle w:val="46"/>
        <w:keepNext w:val="0"/>
        <w:widowControl/>
        <w:numPr>
          <w:ilvl w:val="2"/>
          <w:numId w:val="13"/>
        </w:numPr>
        <w:spacing w:before="120" w:after="120"/>
        <w:textAlignment w:val="auto"/>
        <w:rPr>
          <w:rFonts w:ascii="Arial" w:hAnsi="Arial" w:eastAsia="Times New Roman" w:cs="Arial"/>
          <w:szCs w:val="20"/>
        </w:rPr>
      </w:pPr>
      <w:r>
        <w:rPr>
          <w:rFonts w:ascii="Arial" w:hAnsi="Arial" w:cs="Arial"/>
          <w:szCs w:val="20"/>
        </w:rPr>
        <w:t>Cronograma físico-financeiro, conforme modelo Anexo ao Edital</w:t>
      </w:r>
      <w:r>
        <w:rPr>
          <w:rFonts w:hint="default" w:ascii="Arial" w:hAnsi="Arial" w:cs="Arial"/>
          <w:szCs w:val="20"/>
          <w:lang w:val="pt-BR"/>
        </w:rPr>
        <w:t xml:space="preserve"> </w:t>
      </w:r>
      <w:r>
        <w:rPr>
          <w:rFonts w:ascii="Arial" w:hAnsi="Arial" w:cs="Arial"/>
          <w:szCs w:val="20"/>
        </w:rPr>
        <w:t xml:space="preserve">; </w:t>
      </w:r>
    </w:p>
    <w:p>
      <w:pPr>
        <w:pStyle w:val="46"/>
        <w:keepNext w:val="0"/>
        <w:widowControl/>
        <w:numPr>
          <w:ilvl w:val="3"/>
          <w:numId w:val="13"/>
        </w:numPr>
        <w:spacing w:before="120" w:after="120"/>
        <w:ind w:left="3130"/>
        <w:textAlignment w:val="auto"/>
        <w:rPr>
          <w:rFonts w:ascii="Arial" w:hAnsi="Arial" w:eastAsia="Times New Roman" w:cs="Arial"/>
          <w:szCs w:val="20"/>
        </w:rPr>
      </w:pPr>
      <w:r>
        <w:rPr>
          <w:rFonts w:ascii="Arial" w:hAnsi="Arial" w:cs="Arial"/>
          <w:szCs w:val="20"/>
        </w:rPr>
        <w:t>O cronograma físico-financeiro proposto pelo licitante deverá observar o cronograma de desembolso máximo por período constante do Projeto Básico, bem como indicar os serviços pertencentes ao caminho crítico da obra.</w:t>
      </w:r>
    </w:p>
    <w:p>
      <w:pPr>
        <w:pStyle w:val="46"/>
        <w:keepNext w:val="0"/>
        <w:widowControl/>
        <w:numPr>
          <w:ilvl w:val="2"/>
          <w:numId w:val="13"/>
        </w:numPr>
        <w:spacing w:before="120" w:after="120"/>
        <w:textAlignment w:val="auto"/>
        <w:rPr>
          <w:rFonts w:ascii="Arial" w:hAnsi="Arial" w:eastAsia="Times New Roman" w:cs="Arial"/>
          <w:szCs w:val="20"/>
        </w:rPr>
      </w:pPr>
      <w:r>
        <w:rPr>
          <w:rFonts w:ascii="Arial" w:hAnsi="Arial" w:cs="Arial"/>
          <w:szCs w:val="20"/>
        </w:rPr>
        <w:t xml:space="preserve"> Benefícios e Despesas Indiretas - BDI, detalhando todos os seus componentes, inclusive em forma percentual, conforme modelo anexo ao Edital;</w:t>
      </w:r>
    </w:p>
    <w:p>
      <w:pPr>
        <w:pStyle w:val="46"/>
        <w:keepNext w:val="0"/>
        <w:widowControl/>
        <w:numPr>
          <w:ilvl w:val="3"/>
          <w:numId w:val="13"/>
        </w:numPr>
        <w:spacing w:before="120" w:after="120"/>
        <w:ind w:left="3130"/>
        <w:textAlignment w:val="auto"/>
        <w:rPr>
          <w:rFonts w:ascii="Arial" w:hAnsi="Arial" w:eastAsia="Times New Roman" w:cs="Arial"/>
          <w:szCs w:val="20"/>
        </w:rPr>
      </w:pPr>
      <w:r>
        <w:rPr>
          <w:rFonts w:ascii="Arial" w:hAnsi="Arial" w:cs="Arial"/>
          <w:szCs w:val="2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pPr>
        <w:pStyle w:val="46"/>
        <w:keepNext w:val="0"/>
        <w:widowControl/>
        <w:numPr>
          <w:ilvl w:val="3"/>
          <w:numId w:val="13"/>
        </w:numPr>
        <w:spacing w:before="120" w:after="120"/>
        <w:ind w:left="3130"/>
        <w:textAlignment w:val="auto"/>
        <w:rPr>
          <w:rFonts w:ascii="Arial" w:hAnsi="Arial" w:eastAsia="Times New Roman" w:cs="Arial"/>
          <w:szCs w:val="20"/>
        </w:rPr>
      </w:pPr>
      <w:r>
        <w:rPr>
          <w:rFonts w:ascii="Arial" w:hAnsi="Arial" w:cs="Arial"/>
          <w:szCs w:val="20"/>
        </w:rPr>
        <w:t>As alíquotas de tributos cotadas pelo licitante não podem ser superiores aos limites estabelecidos na legislação tributária;</w:t>
      </w:r>
    </w:p>
    <w:p>
      <w:pPr>
        <w:pStyle w:val="6"/>
        <w:numPr>
          <w:ilvl w:val="3"/>
          <w:numId w:val="13"/>
        </w:numPr>
        <w:spacing w:before="120" w:line="276" w:lineRule="auto"/>
        <w:ind w:left="3130"/>
        <w:jc w:val="both"/>
        <w:rPr>
          <w:rStyle w:val="31"/>
          <w:color w:val="auto"/>
        </w:rPr>
      </w:pPr>
      <w:r>
        <w:rPr>
          <w:rStyle w:val="31"/>
          <w:color w:val="auto"/>
        </w:rPr>
        <w:t>Os tributos considerados de natureza direta e personalística, como o Imposto de Renda de Pessoa Jurídica - IRPJ e a Contribuição Sobre o Lucro Líquido - CSLL, não deverão ser incluídos no BDI, nos termos do art. 9º, II do Decreto 7.983, de 2013 (TCU, Súmula 254).</w:t>
      </w:r>
    </w:p>
    <w:p>
      <w:pPr>
        <w:pStyle w:val="6"/>
        <w:widowControl/>
        <w:numPr>
          <w:ilvl w:val="3"/>
          <w:numId w:val="13"/>
        </w:numPr>
        <w:suppressAutoHyphens w:val="0"/>
        <w:spacing w:before="120" w:line="276" w:lineRule="auto"/>
        <w:ind w:left="3130"/>
        <w:jc w:val="both"/>
        <w:rPr>
          <w:rStyle w:val="31"/>
          <w:color w:val="auto"/>
        </w:rPr>
      </w:pPr>
      <w:r>
        <w:rPr>
          <w:rStyle w:val="31"/>
          <w:color w:val="auto"/>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6"/>
        <w:widowControl/>
        <w:numPr>
          <w:ilvl w:val="3"/>
          <w:numId w:val="13"/>
        </w:numPr>
        <w:suppressAutoHyphens w:val="0"/>
        <w:spacing w:before="120" w:line="276" w:lineRule="auto"/>
        <w:ind w:left="3130"/>
        <w:jc w:val="both"/>
        <w:rPr>
          <w:rStyle w:val="31"/>
          <w:color w:val="auto"/>
        </w:rPr>
      </w:pPr>
      <w:r>
        <w:rPr>
          <w:rStyle w:val="31"/>
          <w:color w:val="auto"/>
        </w:rPr>
        <w:t>As empresas optantes pelo Simples Nacional deverão apresentar os percentuais de ISS, PIS e COFINS, discriminados na composição do BDI, compatíveis com as alíquotas a que estão obrigadas a recolher, conforme previsão contida na Lei Complementar 123/2006.</w:t>
      </w:r>
    </w:p>
    <w:p>
      <w:pPr>
        <w:pStyle w:val="6"/>
        <w:numPr>
          <w:ilvl w:val="2"/>
          <w:numId w:val="13"/>
        </w:numPr>
        <w:spacing w:before="120" w:line="276" w:lineRule="auto"/>
        <w:jc w:val="both"/>
        <w:rPr>
          <w:rStyle w:val="31"/>
          <w:color w:val="auto"/>
        </w:rPr>
      </w:pPr>
      <w:r>
        <w:rPr>
          <w:rStyle w:val="31"/>
          <w:color w:val="auto"/>
        </w:rPr>
        <w:t>a composição do BDI, detalhando todos os seus componentes, em valores nominais como também sob a forma percentual, conforme</w:t>
      </w:r>
      <w:r>
        <w:rPr>
          <w:rStyle w:val="31"/>
          <w:b/>
          <w:bCs/>
          <w:color w:val="auto"/>
          <w:highlight w:val="none"/>
        </w:rPr>
        <w:t xml:space="preserve"> ANEXO</w:t>
      </w:r>
      <w:r>
        <w:rPr>
          <w:rStyle w:val="31"/>
          <w:rFonts w:hint="default" w:ascii="Arial"/>
          <w:b/>
          <w:bCs/>
          <w:color w:val="auto"/>
          <w:highlight w:val="none"/>
          <w:lang w:val="pt-BR"/>
        </w:rPr>
        <w:t xml:space="preserve"> VI.</w:t>
      </w:r>
    </w:p>
    <w:p>
      <w:pPr>
        <w:pStyle w:val="6"/>
        <w:numPr>
          <w:ilvl w:val="3"/>
          <w:numId w:val="13"/>
        </w:numPr>
        <w:spacing w:before="120" w:line="276" w:lineRule="auto"/>
        <w:jc w:val="both"/>
        <w:rPr>
          <w:rStyle w:val="31"/>
          <w:color w:val="auto"/>
        </w:rPr>
      </w:pPr>
      <w:r>
        <w:rPr>
          <w:rStyle w:val="31"/>
          <w:color w:val="auto"/>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pPr>
        <w:pStyle w:val="6"/>
        <w:widowControl/>
        <w:numPr>
          <w:ilvl w:val="3"/>
          <w:numId w:val="13"/>
        </w:numPr>
        <w:suppressAutoHyphens w:val="0"/>
        <w:spacing w:before="120" w:line="276" w:lineRule="auto"/>
        <w:jc w:val="both"/>
        <w:rPr>
          <w:rStyle w:val="31"/>
          <w:color w:val="auto"/>
        </w:rPr>
      </w:pPr>
      <w:r>
        <w:rPr>
          <w:rStyle w:val="31"/>
          <w:color w:val="auto"/>
        </w:rPr>
        <w:t>As alíquotas de tributos cotadas pelo licitante não podem ser superiores aos limites estabelecidos na legislação tributária.</w:t>
      </w:r>
    </w:p>
    <w:p>
      <w:pPr>
        <w:pStyle w:val="6"/>
        <w:widowControl/>
        <w:numPr>
          <w:ilvl w:val="3"/>
          <w:numId w:val="13"/>
        </w:numPr>
        <w:suppressAutoHyphens w:val="0"/>
        <w:spacing w:before="120" w:line="276" w:lineRule="auto"/>
        <w:jc w:val="both"/>
        <w:rPr>
          <w:rStyle w:val="31"/>
          <w:color w:val="auto"/>
        </w:rPr>
      </w:pPr>
      <w:r>
        <w:rPr>
          <w:rStyle w:val="31"/>
          <w:color w:val="auto"/>
        </w:rPr>
        <w:t>Os tributos considerados de natureza direta e personalística, como o Imposto de Renda de Pessoa Jurídica - IRPJ e a Contribuição Sobre o Lucro Líquido - CSLL, não deverão ser incluídos no BDI, nos termos do art. 9º, II do Decreto 7.983, de 2013 (TCU, Súmula 254).</w:t>
      </w:r>
    </w:p>
    <w:p>
      <w:pPr>
        <w:pStyle w:val="6"/>
        <w:widowControl/>
        <w:numPr>
          <w:ilvl w:val="3"/>
          <w:numId w:val="13"/>
        </w:numPr>
        <w:suppressAutoHyphens w:val="0"/>
        <w:spacing w:before="120" w:line="276" w:lineRule="auto"/>
        <w:jc w:val="both"/>
        <w:rPr>
          <w:rStyle w:val="31"/>
          <w:color w:val="000000" w:themeColor="text1"/>
          <w14:textFill>
            <w14:solidFill>
              <w14:schemeClr w14:val="tx1"/>
            </w14:solidFill>
          </w14:textFill>
        </w:rPr>
      </w:pPr>
      <w:r>
        <w:rPr>
          <w:rStyle w:val="31"/>
          <w:color w:val="000000" w:themeColor="text1"/>
          <w14:textFill>
            <w14:solidFill>
              <w14:schemeClr w14:val="tx1"/>
            </w14:solidFill>
          </w14:textFill>
        </w:rPr>
        <w:t>A composição de encargos sociais das empresas optantes pelo Simples Nacional não poderá incluir os gastos relativos às contribuições que estão dispensadas de, conforme dispõe o art. 13, § 3º, da referida Lei Complementar;</w:t>
      </w:r>
    </w:p>
    <w:p>
      <w:pPr>
        <w:pStyle w:val="6"/>
        <w:widowControl/>
        <w:numPr>
          <w:ilvl w:val="3"/>
          <w:numId w:val="13"/>
        </w:numPr>
        <w:suppressAutoHyphens w:val="0"/>
        <w:spacing w:before="120" w:line="276" w:lineRule="auto"/>
        <w:jc w:val="both"/>
        <w:rPr>
          <w:rStyle w:val="31"/>
          <w:color w:val="auto"/>
        </w:rPr>
      </w:pPr>
      <w:r>
        <w:rPr>
          <w:rStyle w:val="31"/>
          <w:color w:val="auto"/>
        </w:rPr>
        <w:t>será adotado o pagamento proporcional dos valores pertinentes à administração local relativamente ao andamento físico do objeto contratual, nos termos definidos no Projeto Básico e no respectivo cronograma.</w:t>
      </w:r>
    </w:p>
    <w:p>
      <w:pPr>
        <w:pStyle w:val="6"/>
        <w:numPr>
          <w:ilvl w:val="2"/>
          <w:numId w:val="13"/>
        </w:numPr>
        <w:spacing w:before="120" w:line="276" w:lineRule="auto"/>
        <w:jc w:val="both"/>
        <w:rPr>
          <w:rFonts w:ascii="Arial" w:hAnsi="Arial" w:cs="Arial"/>
          <w:sz w:val="20"/>
        </w:rPr>
      </w:pPr>
      <w:r>
        <w:rPr>
          <w:rFonts w:ascii="Arial" w:hAnsi="Arial" w:cs="Arial"/>
          <w:sz w:val="20"/>
        </w:rPr>
        <w:t>Prazo de validade da proposta de 60 (sessenta) dias, a contar da data de abertura do certame.</w:t>
      </w:r>
    </w:p>
    <w:p>
      <w:pPr>
        <w:pStyle w:val="6"/>
        <w:numPr>
          <w:ilvl w:val="1"/>
          <w:numId w:val="13"/>
        </w:numPr>
        <w:spacing w:before="120" w:line="276" w:lineRule="auto"/>
        <w:jc w:val="both"/>
        <w:rPr>
          <w:rStyle w:val="31"/>
          <w:rFonts w:eastAsia="Calibri"/>
          <w:iCs/>
          <w:color w:val="auto"/>
          <w:lang w:eastAsia="en-US"/>
        </w:rPr>
      </w:pPr>
      <w:r>
        <w:rPr>
          <w:rStyle w:val="31"/>
          <w:rFonts w:eastAsia="Calibri"/>
          <w:iCs/>
          <w:color w:val="auto"/>
          <w:lang w:eastAsia="en-US"/>
        </w:rPr>
        <w:t>Todas as especificações do objeto contidas na proposta vinculam a Contratada.</w:t>
      </w:r>
    </w:p>
    <w:p>
      <w:pPr>
        <w:pStyle w:val="6"/>
        <w:numPr>
          <w:ilvl w:val="1"/>
          <w:numId w:val="13"/>
        </w:numPr>
        <w:spacing w:before="120" w:line="276" w:lineRule="auto"/>
        <w:jc w:val="both"/>
        <w:rPr>
          <w:rStyle w:val="31"/>
          <w:rFonts w:eastAsia="Calibri"/>
          <w:iCs/>
          <w:color w:val="auto"/>
          <w:lang w:eastAsia="en-US"/>
        </w:rPr>
      </w:pPr>
      <w:r>
        <w:rPr>
          <w:rStyle w:val="31"/>
          <w:rFonts w:eastAsia="Calibri"/>
          <w:iCs/>
          <w:color w:val="auto"/>
          <w:lang w:eastAsia="en-US"/>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6"/>
        <w:spacing w:before="120" w:line="276" w:lineRule="auto"/>
        <w:ind w:left="3294"/>
        <w:jc w:val="both"/>
        <w:rPr>
          <w:rStyle w:val="31"/>
          <w:rFonts w:eastAsia="Calibri"/>
          <w:iCs/>
          <w:strike/>
          <w:color w:val="auto"/>
          <w:lang w:eastAsia="en-US"/>
        </w:rPr>
      </w:pPr>
      <w:r>
        <w:rPr>
          <w:rStyle w:val="31"/>
          <w:rFonts w:eastAsia="Calibri"/>
          <w:iCs/>
          <w:color w:val="auto"/>
          <w:lang w:eastAsia="en-US"/>
        </w:rPr>
        <w:t xml:space="preserve">8.4.1.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w:t>
      </w:r>
    </w:p>
    <w:p>
      <w:pPr>
        <w:widowControl/>
        <w:numPr>
          <w:ilvl w:val="1"/>
          <w:numId w:val="13"/>
        </w:numPr>
        <w:suppressAutoHyphens w:val="0"/>
        <w:spacing w:before="120" w:after="120" w:line="276" w:lineRule="auto"/>
        <w:jc w:val="both"/>
        <w:rPr>
          <w:rFonts w:ascii="Arial" w:hAnsi="Arial" w:cs="Arial"/>
          <w:sz w:val="20"/>
        </w:rPr>
      </w:pPr>
      <w:r>
        <w:rPr>
          <w:rFonts w:ascii="Arial" w:hAnsi="Arial" w:cs="Arial"/>
          <w:sz w:val="20"/>
        </w:rPr>
        <w:t>A empresa é a única responsável pela cotação correta dos encargos tributários. Em caso de erro ou cotação incompatível com o regime tributário a que se submete, serão adotadas as orientações a seguir:</w:t>
      </w:r>
    </w:p>
    <w:p>
      <w:pPr>
        <w:widowControl/>
        <w:numPr>
          <w:ilvl w:val="2"/>
          <w:numId w:val="13"/>
        </w:numPr>
        <w:suppressAutoHyphens w:val="0"/>
        <w:spacing w:before="120" w:after="120" w:line="276" w:lineRule="auto"/>
        <w:jc w:val="both"/>
        <w:rPr>
          <w:rFonts w:ascii="Arial" w:hAnsi="Arial" w:cs="Arial"/>
          <w:sz w:val="20"/>
        </w:rPr>
      </w:pPr>
      <w:r>
        <w:rPr>
          <w:rFonts w:ascii="Arial" w:hAnsi="Arial" w:cs="Arial"/>
          <w:sz w:val="20"/>
        </w:rPr>
        <w:t>cotação de percentual menor que o adequado: o percentual será mantido durante toda a execução contratual;</w:t>
      </w:r>
    </w:p>
    <w:p>
      <w:pPr>
        <w:widowControl/>
        <w:numPr>
          <w:ilvl w:val="2"/>
          <w:numId w:val="13"/>
        </w:numPr>
        <w:suppressAutoHyphens w:val="0"/>
        <w:spacing w:before="120" w:after="120" w:line="276" w:lineRule="auto"/>
        <w:jc w:val="both"/>
        <w:rPr>
          <w:rFonts w:ascii="Arial" w:hAnsi="Arial" w:cs="Arial"/>
          <w:sz w:val="20"/>
          <w:highlight w:val="green"/>
        </w:rPr>
      </w:pPr>
      <w:r>
        <w:rPr>
          <w:rFonts w:ascii="Arial" w:hAnsi="Arial" w:cs="Arial"/>
          <w:sz w:val="20"/>
        </w:rPr>
        <w:t>cotação de percentual maior que o adequado: o excesso será suprimido, unilateralmente da planilha e haverá glosa, quando do pagamento.</w:t>
      </w:r>
    </w:p>
    <w:p>
      <w:pPr>
        <w:widowControl/>
        <w:numPr>
          <w:ilvl w:val="1"/>
          <w:numId w:val="13"/>
        </w:numPr>
        <w:suppressAutoHyphens w:val="0"/>
        <w:spacing w:before="120" w:after="120" w:line="276" w:lineRule="auto"/>
        <w:jc w:val="both"/>
        <w:rPr>
          <w:rFonts w:ascii="Arial" w:hAnsi="Arial" w:cs="Arial"/>
          <w:sz w:val="20"/>
        </w:rPr>
      </w:pPr>
      <w:r>
        <w:rPr>
          <w:rFonts w:ascii="Arial" w:hAnsi="Arial" w:cs="Arial"/>
          <w:sz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widowControl/>
        <w:numPr>
          <w:ilvl w:val="1"/>
          <w:numId w:val="13"/>
        </w:numPr>
        <w:suppressAutoHyphens w:val="0"/>
        <w:spacing w:before="120" w:after="120" w:line="276" w:lineRule="auto"/>
        <w:jc w:val="both"/>
        <w:rPr>
          <w:rFonts w:ascii="Arial" w:hAnsi="Arial" w:cs="Arial"/>
          <w:sz w:val="20"/>
        </w:rPr>
      </w:pPr>
      <w:r>
        <w:rPr>
          <w:rFonts w:ascii="Arial" w:hAnsi="Arial" w:cs="Arial"/>
          <w:sz w:val="20"/>
        </w:rPr>
        <w:t>Independentemente do percentual de tributo inserido na planilha, no pagamento dos serviços, serão retidos na fonte os percentuais estabelecidos na legislação vigente.</w:t>
      </w:r>
    </w:p>
    <w:p>
      <w:pPr>
        <w:pStyle w:val="6"/>
        <w:widowControl/>
        <w:numPr>
          <w:ilvl w:val="1"/>
          <w:numId w:val="13"/>
        </w:numPr>
        <w:suppressAutoHyphens w:val="0"/>
        <w:spacing w:before="120" w:line="276" w:lineRule="auto"/>
        <w:jc w:val="both"/>
        <w:rPr>
          <w:rStyle w:val="31"/>
          <w:color w:val="auto"/>
        </w:rPr>
      </w:pPr>
      <w:r>
        <w:rPr>
          <w:rStyle w:val="31"/>
          <w:color w:val="auto"/>
        </w:rPr>
        <w:t>Erros no preenchimento da planilha não constituem motivo para a desclassificação da proposta.</w:t>
      </w:r>
    </w:p>
    <w:p>
      <w:pPr>
        <w:pStyle w:val="6"/>
        <w:widowControl/>
        <w:numPr>
          <w:ilvl w:val="2"/>
          <w:numId w:val="13"/>
        </w:numPr>
        <w:suppressAutoHyphens w:val="0"/>
        <w:spacing w:before="120" w:line="276" w:lineRule="auto"/>
        <w:jc w:val="both"/>
        <w:rPr>
          <w:rStyle w:val="31"/>
          <w:color w:val="auto"/>
        </w:rPr>
      </w:pPr>
      <w:r>
        <w:rPr>
          <w:rStyle w:val="31"/>
          <w:color w:val="auto"/>
        </w:rPr>
        <w:t>A planilha poderá ser ajustada pelo licitante, no prazo indicado pela Comissão, desde que não haja majoração do preço proposto.</w:t>
      </w:r>
    </w:p>
    <w:p>
      <w:pPr>
        <w:pStyle w:val="6"/>
        <w:widowControl/>
        <w:numPr>
          <w:ilvl w:val="1"/>
          <w:numId w:val="13"/>
        </w:numPr>
        <w:suppressAutoHyphens w:val="0"/>
        <w:spacing w:before="120" w:line="276" w:lineRule="auto"/>
        <w:jc w:val="both"/>
        <w:rPr>
          <w:rFonts w:ascii="Arial" w:hAnsi="Arial" w:cs="Arial"/>
          <w:sz w:val="20"/>
        </w:rPr>
      </w:pPr>
      <w:r>
        <w:rPr>
          <w:rFonts w:ascii="Arial" w:hAnsi="Arial" w:cs="Arial"/>
          <w:sz w:val="20"/>
        </w:rPr>
        <w:t>A apresentação das propostas implica obrigatoriedade do cumprimento das disposições nelas contidas, em conformidade com o que dispõe o Projeto Básico, assumindo o proponente o compromisso de executar o objeto nos seus termos, bem como de fornecer os materiais, equipamentos, ferramentas e utensílios necessários, em quantidades e qualidades adequadas à perfeita execução contratual, promovendo, quando requerido, sua substituição.</w:t>
      </w:r>
    </w:p>
    <w:p>
      <w:pPr>
        <w:pStyle w:val="6"/>
        <w:widowControl/>
        <w:numPr>
          <w:ilvl w:val="1"/>
          <w:numId w:val="13"/>
        </w:numPr>
        <w:suppressAutoHyphens w:val="0"/>
        <w:spacing w:before="120" w:line="276" w:lineRule="auto"/>
        <w:jc w:val="both"/>
        <w:rPr>
          <w:rFonts w:ascii="Arial" w:hAnsi="Arial" w:cs="Arial"/>
          <w:sz w:val="20"/>
        </w:rPr>
      </w:pPr>
      <w:r>
        <w:rPr>
          <w:rFonts w:ascii="Arial" w:hAnsi="Arial" w:cs="Arial"/>
          <w:sz w:val="20"/>
        </w:rPr>
        <w:t>Os preços ofertados, tanto na proposta inicial, serão de exclusiva responsabilidade do licitante, não lhe assistindo o direito de pleitear qualquer alteração, sob alegação de erro, omissão ou qualquer outro pretexto.</w:t>
      </w:r>
    </w:p>
    <w:p>
      <w:pPr>
        <w:pStyle w:val="6"/>
        <w:widowControl/>
        <w:numPr>
          <w:ilvl w:val="1"/>
          <w:numId w:val="13"/>
        </w:numPr>
        <w:suppressAutoHyphens w:val="0"/>
        <w:spacing w:before="120" w:line="276" w:lineRule="auto"/>
        <w:jc w:val="both"/>
        <w:rPr>
          <w:rFonts w:ascii="Arial" w:hAnsi="Arial" w:cs="Arial"/>
          <w:sz w:val="20"/>
        </w:rPr>
      </w:pPr>
      <w:r>
        <w:rPr>
          <w:rFonts w:ascii="Arial" w:hAnsi="Arial" w:cs="Arial"/>
          <w:sz w:val="20"/>
        </w:rPr>
        <w:t>Os licitantes devem respeitar os preços máximos estabelecidos nas normas de regência de contratações públicas federais, quando participarem de licitações públicas (Acórdão nº 1455/2018 -TCU - Plenário).</w:t>
      </w:r>
    </w:p>
    <w:p>
      <w:pPr>
        <w:pStyle w:val="6"/>
        <w:widowControl/>
        <w:numPr>
          <w:ilvl w:val="2"/>
          <w:numId w:val="13"/>
        </w:numPr>
        <w:suppressAutoHyphens w:val="0"/>
        <w:spacing w:before="120" w:line="276" w:lineRule="auto"/>
        <w:jc w:val="both"/>
        <w:rPr>
          <w:rFonts w:ascii="Arial" w:hAnsi="Arial" w:cs="Arial"/>
        </w:rPr>
      </w:pPr>
      <w:r>
        <w:rPr>
          <w:rFonts w:ascii="Arial" w:hAnsi="Arial" w:cs="Arial"/>
          <w:sz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r>
        <w:rPr>
          <w:rFonts w:ascii="Arial" w:hAnsi="Arial" w:cs="Arial"/>
          <w:i w:val="0"/>
          <w:iCs w:val="0"/>
        </w:rPr>
        <w:t xml:space="preserve">. </w:t>
      </w:r>
    </w:p>
    <w:p>
      <w:pPr>
        <w:pStyle w:val="30"/>
        <w:spacing w:after="120" w:line="276" w:lineRule="auto"/>
        <w:ind w:left="360"/>
        <w:jc w:val="both"/>
        <w:rPr>
          <w:rFonts w:ascii="Arial" w:hAnsi="Arial" w:cs="Arial"/>
          <w:b/>
          <w:sz w:val="20"/>
        </w:rPr>
      </w:pPr>
    </w:p>
    <w:p>
      <w:pPr>
        <w:pStyle w:val="30"/>
        <w:numPr>
          <w:ilvl w:val="0"/>
          <w:numId w:val="13"/>
        </w:numPr>
        <w:spacing w:after="120" w:line="276" w:lineRule="auto"/>
        <w:jc w:val="both"/>
        <w:rPr>
          <w:rFonts w:ascii="Arial" w:hAnsi="Arial" w:cs="Arial"/>
          <w:b/>
          <w:sz w:val="20"/>
        </w:rPr>
      </w:pPr>
      <w:r>
        <w:rPr>
          <w:rFonts w:ascii="Arial" w:hAnsi="Arial" w:cs="Arial"/>
          <w:b/>
          <w:sz w:val="20"/>
        </w:rPr>
        <w:t>DA ABERTURA DOS ENVELOPES</w:t>
      </w:r>
    </w:p>
    <w:p>
      <w:pPr>
        <w:pStyle w:val="36"/>
        <w:numPr>
          <w:ilvl w:val="1"/>
          <w:numId w:val="13"/>
        </w:numPr>
        <w:ind w:left="425" w:firstLine="0"/>
        <w:rPr>
          <w:rFonts w:ascii="Arial" w:hAnsi="Arial" w:cs="Arial"/>
        </w:rPr>
      </w:pPr>
      <w:r>
        <w:rPr>
          <w:rFonts w:ascii="Arial" w:hAnsi="Arial" w:cs="Arial"/>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pPr>
        <w:pStyle w:val="38"/>
        <w:numPr>
          <w:ilvl w:val="2"/>
          <w:numId w:val="14"/>
        </w:numPr>
        <w:ind w:left="1854"/>
        <w:rPr>
          <w:rFonts w:ascii="Arial" w:hAnsi="Arial"/>
        </w:rPr>
      </w:pPr>
      <w:r>
        <w:rPr>
          <w:rFonts w:ascii="Arial" w:hAnsi="Arial"/>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pPr>
        <w:pStyle w:val="38"/>
        <w:numPr>
          <w:ilvl w:val="2"/>
          <w:numId w:val="14"/>
        </w:numPr>
        <w:ind w:left="1134" w:firstLine="0"/>
        <w:rPr>
          <w:rFonts w:ascii="Arial" w:hAnsi="Arial"/>
        </w:rPr>
      </w:pPr>
      <w:r>
        <w:rPr>
          <w:rFonts w:ascii="Arial" w:hAnsi="Arial"/>
        </w:rPr>
        <w:t>As declarações complementares deverão ser entregues separadamente dos envelopes acima mencionados e consistem nos seguintes documentos:</w:t>
      </w:r>
    </w:p>
    <w:p>
      <w:pPr>
        <w:pStyle w:val="38"/>
        <w:numPr>
          <w:ilvl w:val="3"/>
          <w:numId w:val="14"/>
        </w:numPr>
        <w:ind w:left="1701" w:firstLine="0"/>
        <w:rPr>
          <w:rFonts w:ascii="Arial" w:hAnsi="Arial"/>
        </w:rPr>
      </w:pPr>
      <w:r>
        <w:rPr>
          <w:rFonts w:ascii="Arial" w:hAnsi="Arial"/>
        </w:rPr>
        <w:t>Declaração de que a proposta foi elaborada de forma independente, nos termos da Instrução Normativa SLTI/MP n° 02/09, conforme modelo anexo a este edital.</w:t>
      </w:r>
    </w:p>
    <w:p>
      <w:pPr>
        <w:pStyle w:val="38"/>
        <w:numPr>
          <w:ilvl w:val="4"/>
          <w:numId w:val="14"/>
        </w:numPr>
        <w:ind w:left="2268" w:firstLine="0"/>
        <w:rPr>
          <w:rFonts w:ascii="Arial" w:hAnsi="Arial"/>
        </w:rPr>
      </w:pPr>
      <w:r>
        <w:rPr>
          <w:rFonts w:ascii="Arial" w:hAnsi="Arial"/>
        </w:rPr>
        <w:t>A ausência do documento mencionado no subitem anterior implicará a desclassificação da proposta.</w:t>
      </w:r>
    </w:p>
    <w:p>
      <w:pPr>
        <w:pStyle w:val="30"/>
        <w:widowControl/>
        <w:numPr>
          <w:ilvl w:val="3"/>
          <w:numId w:val="14"/>
        </w:numPr>
        <w:suppressAutoHyphens w:val="0"/>
        <w:spacing w:before="120" w:after="120" w:line="276" w:lineRule="auto"/>
        <w:ind w:left="1701" w:firstLine="0"/>
        <w:contextualSpacing w:val="0"/>
        <w:jc w:val="both"/>
        <w:rPr>
          <w:rStyle w:val="31"/>
          <w:color w:val="auto"/>
        </w:rPr>
      </w:pPr>
      <w:r>
        <w:rPr>
          <w:rStyle w:val="31"/>
          <w:color w:val="auto"/>
        </w:rPr>
        <w:t>Declaração, sob as penas da lei, de que até a data marcada para a entrega dos envelopes, inexistem fatos impeditivos para a sua habilitação no presente processo licitatório, ciente da obrigatoriedade de declarar ocorrências posteriores;</w:t>
      </w:r>
    </w:p>
    <w:p>
      <w:pPr>
        <w:pStyle w:val="30"/>
        <w:widowControl/>
        <w:numPr>
          <w:ilvl w:val="3"/>
          <w:numId w:val="14"/>
        </w:numPr>
        <w:suppressAutoHyphens w:val="0"/>
        <w:spacing w:before="120" w:after="120" w:line="276" w:lineRule="auto"/>
        <w:ind w:left="1701" w:firstLine="0"/>
        <w:contextualSpacing w:val="0"/>
        <w:jc w:val="both"/>
        <w:rPr>
          <w:rStyle w:val="31"/>
          <w:color w:val="auto"/>
        </w:rPr>
      </w:pPr>
      <w:r>
        <w:rPr>
          <w:rStyle w:val="31"/>
          <w:color w:val="auto"/>
        </w:rPr>
        <w:t>Declaração de enquadramento da licitante como Microempresa – ME, Empresa de Pequeno Porte – EPP ou Cooperativa equiparada – COOP, nos termos do art. 34 da Lei n. 11.488, de 2007 apta a usufruir do tratamento favorecido estabelecido nos arts. 42 a 49 da Lei Complementar n. 123, de 2006.</w:t>
      </w:r>
    </w:p>
    <w:p>
      <w:pPr>
        <w:pStyle w:val="30"/>
        <w:widowControl/>
        <w:numPr>
          <w:ilvl w:val="4"/>
          <w:numId w:val="14"/>
        </w:numPr>
        <w:suppressAutoHyphens w:val="0"/>
        <w:spacing w:before="120" w:after="120" w:line="276" w:lineRule="auto"/>
        <w:ind w:left="2268" w:firstLine="0"/>
        <w:contextualSpacing w:val="0"/>
        <w:jc w:val="both"/>
        <w:rPr>
          <w:rStyle w:val="31"/>
          <w:color w:val="auto"/>
        </w:rPr>
      </w:pPr>
      <w:r>
        <w:rPr>
          <w:rStyle w:val="31"/>
          <w:color w:val="auto"/>
        </w:rPr>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pPr>
        <w:pStyle w:val="30"/>
        <w:numPr>
          <w:ilvl w:val="4"/>
          <w:numId w:val="14"/>
        </w:numPr>
        <w:spacing w:before="120" w:after="120" w:line="276" w:lineRule="auto"/>
        <w:ind w:left="2268" w:firstLine="0"/>
        <w:contextualSpacing w:val="0"/>
        <w:jc w:val="both"/>
        <w:rPr>
          <w:rStyle w:val="31"/>
          <w:color w:val="auto"/>
        </w:rPr>
      </w:pPr>
      <w:r>
        <w:rPr>
          <w:rStyle w:val="31"/>
          <w:color w:val="auto"/>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pPr>
        <w:pStyle w:val="46"/>
        <w:keepNext w:val="0"/>
        <w:widowControl/>
        <w:numPr>
          <w:ilvl w:val="1"/>
          <w:numId w:val="14"/>
        </w:numPr>
        <w:spacing w:before="120" w:after="120"/>
        <w:rPr>
          <w:rFonts w:ascii="Arial" w:hAnsi="Arial" w:cs="Arial"/>
        </w:rPr>
      </w:pPr>
      <w:r>
        <w:rPr>
          <w:rFonts w:ascii="Arial" w:hAnsi="Arial" w:cs="Arial"/>
        </w:rPr>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pPr>
        <w:pStyle w:val="46"/>
        <w:keepNext w:val="0"/>
        <w:widowControl/>
        <w:numPr>
          <w:ilvl w:val="2"/>
          <w:numId w:val="14"/>
        </w:numPr>
        <w:spacing w:before="120" w:after="120"/>
        <w:rPr>
          <w:rFonts w:ascii="Arial" w:hAnsi="Arial" w:cs="Arial"/>
        </w:rPr>
      </w:pPr>
      <w:r>
        <w:rPr>
          <w:rFonts w:ascii="Arial" w:hAnsi="Arial" w:cs="Arial"/>
        </w:rPr>
        <w:t xml:space="preserve"> 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pPr>
        <w:pStyle w:val="46"/>
        <w:keepNext w:val="0"/>
        <w:widowControl/>
        <w:numPr>
          <w:ilvl w:val="2"/>
          <w:numId w:val="14"/>
        </w:numPr>
        <w:spacing w:before="120" w:after="120"/>
        <w:rPr>
          <w:rStyle w:val="31"/>
          <w:color w:val="auto"/>
        </w:rPr>
      </w:pPr>
      <w:r>
        <w:rPr>
          <w:rFonts w:ascii="Arial" w:hAnsi="Arial" w:cs="Arial"/>
        </w:rPr>
        <w:t xml:space="preserve"> A participação em licitação na condição de microempresa ou empresa de pequeno porte, sem que haja o enquadramento nessas categorias, ensejará a aplicação das sanções previstas em Lei e a exclusão do regime de tratamento diferenciado.</w:t>
      </w:r>
      <w:r>
        <w:rPr>
          <w:rStyle w:val="31"/>
          <w:b/>
          <w:szCs w:val="20"/>
        </w:rPr>
        <w:t xml:space="preserve"> </w:t>
      </w:r>
    </w:p>
    <w:p>
      <w:pPr>
        <w:pStyle w:val="36"/>
        <w:numPr>
          <w:ilvl w:val="1"/>
          <w:numId w:val="14"/>
        </w:numPr>
        <w:ind w:left="425" w:firstLine="0"/>
        <w:rPr>
          <w:rFonts w:ascii="Arial" w:hAnsi="Arial" w:cs="Arial"/>
        </w:rPr>
      </w:pPr>
      <w:r>
        <w:rPr>
          <w:rFonts w:ascii="Arial" w:hAnsi="Arial" w:cs="Arial"/>
        </w:rPr>
        <w:t xml:space="preserve">Depois de ultrapassado o horário para recebimento dos envelopes, nenhum outro será recebido, nem tampouco serão permitidos quaisquer adendos ou esclarecimentos relativos à documentação ou proposta de preços apresentadas. </w:t>
      </w:r>
    </w:p>
    <w:p>
      <w:pPr>
        <w:pStyle w:val="36"/>
        <w:numPr>
          <w:ilvl w:val="1"/>
          <w:numId w:val="14"/>
        </w:numPr>
        <w:ind w:left="425" w:firstLine="0"/>
        <w:rPr>
          <w:rFonts w:ascii="Arial" w:hAnsi="Arial" w:cs="Arial"/>
        </w:rPr>
      </w:pPr>
      <w:r>
        <w:rPr>
          <w:rFonts w:ascii="Arial" w:hAnsi="Arial" w:cs="Arial"/>
        </w:rPr>
        <w:t>A seguir, serão identificados os licitantes e proceder-se-á à abertura dos Envelopes nº 01 - Documentos de Habilitação.</w:t>
      </w:r>
    </w:p>
    <w:p>
      <w:pPr>
        <w:pStyle w:val="38"/>
        <w:numPr>
          <w:ilvl w:val="2"/>
          <w:numId w:val="14"/>
        </w:numPr>
        <w:ind w:left="1134" w:firstLine="0"/>
        <w:rPr>
          <w:rFonts w:ascii="Arial" w:hAnsi="Arial"/>
        </w:rPr>
      </w:pPr>
      <w:r>
        <w:rPr>
          <w:rFonts w:ascii="Arial" w:hAnsi="Arial"/>
        </w:rPr>
        <w:t>O conteúdo dos envelopes será rubricado pelos membros da Comissão e pelos licitantes presentes ou por seus representantes, e consultado o SICAF, se for o caso.</w:t>
      </w:r>
    </w:p>
    <w:p>
      <w:pPr>
        <w:pStyle w:val="36"/>
        <w:numPr>
          <w:ilvl w:val="1"/>
          <w:numId w:val="14"/>
        </w:numPr>
        <w:ind w:left="425" w:firstLine="0"/>
        <w:rPr>
          <w:rFonts w:ascii="Arial" w:hAnsi="Arial" w:cs="Arial"/>
        </w:rPr>
      </w:pPr>
      <w:r>
        <w:rPr>
          <w:rFonts w:ascii="Arial" w:hAnsi="Arial" w:cs="Arial"/>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pPr>
        <w:pStyle w:val="30"/>
        <w:widowControl/>
        <w:numPr>
          <w:ilvl w:val="2"/>
          <w:numId w:val="14"/>
        </w:numPr>
        <w:suppressAutoHyphens w:val="0"/>
        <w:spacing w:before="120" w:after="120" w:line="276" w:lineRule="auto"/>
        <w:contextualSpacing w:val="0"/>
        <w:jc w:val="both"/>
        <w:rPr>
          <w:rFonts w:ascii="Arial" w:hAnsi="Arial" w:cs="Arial"/>
          <w:sz w:val="20"/>
        </w:rPr>
      </w:pPr>
      <w:r>
        <w:rPr>
          <w:rFonts w:ascii="Arial" w:hAnsi="Arial" w:cs="Arial"/>
          <w:sz w:val="20"/>
        </w:rPr>
        <w:t>SICAF;</w:t>
      </w:r>
    </w:p>
    <w:p>
      <w:pPr>
        <w:pStyle w:val="30"/>
        <w:widowControl/>
        <w:numPr>
          <w:ilvl w:val="2"/>
          <w:numId w:val="14"/>
        </w:numPr>
        <w:suppressAutoHyphens w:val="0"/>
        <w:spacing w:before="120" w:after="120" w:line="276" w:lineRule="auto"/>
        <w:contextualSpacing w:val="0"/>
        <w:jc w:val="both"/>
        <w:rPr>
          <w:rFonts w:ascii="Arial" w:hAnsi="Arial" w:cs="Arial"/>
          <w:sz w:val="20"/>
        </w:rPr>
      </w:pPr>
      <w:r>
        <w:rPr>
          <w:rFonts w:ascii="Arial" w:hAnsi="Arial" w:cs="Arial"/>
          <w:sz w:val="20"/>
        </w:rPr>
        <w:t>Cadastro Nacional de Empresas Inidôneas e Suspensas – CEIS, mantido pela Controladoria-Geral da União (</w:t>
      </w:r>
      <w:r>
        <w:fldChar w:fldCharType="begin"/>
      </w:r>
      <w:r>
        <w:instrText xml:space="preserve"> HYPERLINK "http://www.portaldatransparencia.gov.br/ceis" \h </w:instrText>
      </w:r>
      <w:r>
        <w:fldChar w:fldCharType="separate"/>
      </w:r>
      <w:r>
        <w:rPr>
          <w:rStyle w:val="17"/>
          <w:rFonts w:ascii="Arial" w:hAnsi="Arial" w:cs="Arial"/>
          <w:sz w:val="20"/>
        </w:rPr>
        <w:t>www.portaldatransparencia.gov.br/ceis</w:t>
      </w:r>
      <w:r>
        <w:rPr>
          <w:rStyle w:val="17"/>
          <w:rFonts w:ascii="Arial" w:hAnsi="Arial" w:cs="Arial"/>
          <w:sz w:val="20"/>
        </w:rPr>
        <w:fldChar w:fldCharType="end"/>
      </w:r>
      <w:r>
        <w:rPr>
          <w:rFonts w:ascii="Arial" w:hAnsi="Arial" w:cs="Arial"/>
          <w:sz w:val="20"/>
        </w:rPr>
        <w:t>);</w:t>
      </w:r>
    </w:p>
    <w:p>
      <w:pPr>
        <w:pStyle w:val="30"/>
        <w:widowControl/>
        <w:numPr>
          <w:ilvl w:val="2"/>
          <w:numId w:val="14"/>
        </w:numPr>
        <w:suppressAutoHyphens w:val="0"/>
        <w:spacing w:before="120" w:after="120" w:line="276" w:lineRule="auto"/>
        <w:contextualSpacing w:val="0"/>
        <w:jc w:val="both"/>
        <w:rPr>
          <w:rFonts w:ascii="Arial" w:hAnsi="Arial" w:cs="Arial"/>
          <w:sz w:val="20"/>
        </w:rPr>
      </w:pPr>
      <w:r>
        <w:rPr>
          <w:rFonts w:ascii="Arial" w:hAnsi="Arial" w:cs="Arial"/>
          <w:sz w:val="20"/>
        </w:rPr>
        <w:t>Cadastro Nacional de Condenações Cíveis por Atos de Improbidade Administrativa e Inelegibilidade, mantido pelo Conselho Nacional de Justiça (</w:t>
      </w:r>
      <w:r>
        <w:fldChar w:fldCharType="begin"/>
      </w:r>
      <w:r>
        <w:instrText xml:space="preserve"> HYPERLINK "http://www.cnj.jus.br/improbidade_adm/consultar_requerido.php" \h </w:instrText>
      </w:r>
      <w:r>
        <w:fldChar w:fldCharType="separate"/>
      </w:r>
      <w:r>
        <w:rPr>
          <w:rFonts w:ascii="Arial" w:hAnsi="Arial" w:cs="Arial"/>
          <w:color w:val="0000FF"/>
          <w:sz w:val="20"/>
          <w:u w:val="single"/>
        </w:rPr>
        <w:t>www.cnj.jus.br/improbidade_adm/consultar_requerido.php</w:t>
      </w:r>
      <w:r>
        <w:rPr>
          <w:rFonts w:ascii="Arial" w:hAnsi="Arial" w:cs="Arial"/>
          <w:color w:val="0000FF"/>
          <w:sz w:val="20"/>
          <w:u w:val="single"/>
        </w:rPr>
        <w:fldChar w:fldCharType="end"/>
      </w:r>
      <w:r>
        <w:rPr>
          <w:rFonts w:ascii="Arial" w:hAnsi="Arial" w:cs="Arial"/>
          <w:sz w:val="20"/>
        </w:rPr>
        <w:t>).</w:t>
      </w:r>
    </w:p>
    <w:p>
      <w:pPr>
        <w:pStyle w:val="30"/>
        <w:widowControl/>
        <w:numPr>
          <w:ilvl w:val="2"/>
          <w:numId w:val="14"/>
        </w:numPr>
        <w:suppressAutoHyphens w:val="0"/>
        <w:spacing w:before="120" w:after="120" w:line="276" w:lineRule="auto"/>
        <w:contextualSpacing w:val="0"/>
        <w:jc w:val="both"/>
        <w:rPr>
          <w:rFonts w:ascii="Arial" w:hAnsi="Arial" w:cs="Arial"/>
          <w:sz w:val="20"/>
        </w:rPr>
      </w:pPr>
      <w:r>
        <w:rPr>
          <w:rFonts w:ascii="Arial" w:hAnsi="Arial" w:cs="Arial"/>
          <w:sz w:val="20"/>
        </w:rPr>
        <w:t>Lista de Inidôneos e o Cadastro Integrado de Condenações por Ilícitos Administrativos - CADICON, mantidas pelo Tribunal de Contas da União – TCU;</w:t>
      </w:r>
    </w:p>
    <w:p>
      <w:pPr>
        <w:pStyle w:val="36"/>
        <w:numPr>
          <w:ilvl w:val="1"/>
          <w:numId w:val="14"/>
        </w:numPr>
        <w:ind w:left="425" w:firstLine="0"/>
        <w:rPr>
          <w:rFonts w:ascii="Arial" w:hAnsi="Arial" w:cs="Arial"/>
        </w:rPr>
      </w:pPr>
      <w:r>
        <w:rPr>
          <w:rFonts w:ascii="Arial" w:hAnsi="Arial"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36"/>
        <w:numPr>
          <w:ilvl w:val="1"/>
          <w:numId w:val="14"/>
        </w:numPr>
        <w:ind w:left="425" w:firstLine="0"/>
        <w:rPr>
          <w:rFonts w:ascii="Arial" w:hAnsi="Arial" w:cs="Arial"/>
        </w:rPr>
      </w:pPr>
      <w:r>
        <w:rPr>
          <w:rFonts w:ascii="Arial" w:hAnsi="Arial" w:cs="Arial"/>
        </w:rPr>
        <w:t>Constatada a existência de sanção, a Comissão reputará o licitante inabilitado, por falta de condição de participação.</w:t>
      </w:r>
    </w:p>
    <w:p>
      <w:pPr>
        <w:pStyle w:val="38"/>
        <w:numPr>
          <w:ilvl w:val="2"/>
          <w:numId w:val="14"/>
        </w:numPr>
        <w:ind w:left="1134" w:firstLine="0"/>
        <w:rPr>
          <w:rFonts w:ascii="Arial" w:hAnsi="Arial"/>
        </w:rPr>
      </w:pPr>
      <w:r>
        <w:rPr>
          <w:rFonts w:ascii="Arial" w:hAnsi="Arial"/>
        </w:rPr>
        <w:t>Não ocorrendo a inabilitação por força das situações acima mencionadas, a documentação de habilitação dos licitantes então será verificada, conforme demais exigências previstas neste instrumento convocatório.</w:t>
      </w:r>
    </w:p>
    <w:p>
      <w:pPr>
        <w:pStyle w:val="38"/>
        <w:numPr>
          <w:ilvl w:val="2"/>
          <w:numId w:val="14"/>
        </w:numPr>
        <w:ind w:left="1134" w:firstLine="0"/>
        <w:rPr>
          <w:rFonts w:ascii="Arial" w:hAnsi="Arial"/>
        </w:rPr>
      </w:pPr>
      <w:r>
        <w:rPr>
          <w:rFonts w:ascii="Arial" w:hAnsi="Arial"/>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pPr>
        <w:pStyle w:val="36"/>
        <w:numPr>
          <w:ilvl w:val="1"/>
          <w:numId w:val="14"/>
        </w:numPr>
        <w:ind w:left="425" w:firstLine="0"/>
        <w:rPr>
          <w:rFonts w:ascii="Arial" w:hAnsi="Arial" w:cs="Arial"/>
        </w:rPr>
      </w:pPr>
      <w:r>
        <w:rPr>
          <w:rFonts w:ascii="Arial" w:hAnsi="Arial" w:cs="Arial"/>
        </w:rPr>
        <w:t xml:space="preserve">Ao licitante inabilitado será devolvido o respectivo Envelope n° 02, sem ser aberto, depois de transcorrido o prazo legal sem interposição de recurso ou de sua desistência, ou da decisão desfavorável do recurso. </w:t>
      </w:r>
    </w:p>
    <w:p>
      <w:pPr>
        <w:pStyle w:val="36"/>
        <w:numPr>
          <w:ilvl w:val="1"/>
          <w:numId w:val="14"/>
        </w:numPr>
        <w:ind w:left="425" w:firstLine="0"/>
        <w:rPr>
          <w:rFonts w:ascii="Arial" w:hAnsi="Arial" w:cs="Arial"/>
        </w:rPr>
      </w:pPr>
      <w:r>
        <w:rPr>
          <w:rFonts w:ascii="Arial" w:hAnsi="Arial" w:cs="Arial"/>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pPr>
        <w:pStyle w:val="38"/>
        <w:numPr>
          <w:ilvl w:val="2"/>
          <w:numId w:val="15"/>
        </w:numPr>
        <w:ind w:left="1854"/>
        <w:rPr>
          <w:rFonts w:ascii="Arial" w:hAnsi="Arial"/>
        </w:rPr>
      </w:pPr>
      <w:r>
        <w:rPr>
          <w:rFonts w:ascii="Arial" w:hAnsi="Arial"/>
        </w:rPr>
        <w:t>Não ocorrendo a desistência expressa de todos os licitantes, quanto ao direito de recorrer, os Envelopes n° 02 - Proposta de Preços serão rubricados pelos licitantes presentes ao ato e mantidos invioláveis até a posterior abertura.</w:t>
      </w:r>
    </w:p>
    <w:p>
      <w:pPr>
        <w:pStyle w:val="38"/>
        <w:numPr>
          <w:ilvl w:val="2"/>
          <w:numId w:val="15"/>
        </w:numPr>
        <w:ind w:left="1134" w:firstLine="0"/>
        <w:rPr>
          <w:rFonts w:ascii="Arial" w:hAnsi="Arial"/>
        </w:rPr>
      </w:pPr>
      <w:r>
        <w:rPr>
          <w:rFonts w:ascii="Arial" w:hAnsi="Arial"/>
        </w:rPr>
        <w:t>Ultrapassada a fase de habilitação e abertas as propostas, não cabe desclassificar o licitante por motivo relacionado com a habilitação, salvo em razão de fatos supervenientes ou só conhecidos após o julgamento.</w:t>
      </w:r>
    </w:p>
    <w:p>
      <w:pPr>
        <w:pStyle w:val="36"/>
        <w:numPr>
          <w:ilvl w:val="1"/>
          <w:numId w:val="15"/>
        </w:numPr>
        <w:ind w:left="425" w:firstLine="0"/>
        <w:rPr>
          <w:rFonts w:ascii="Arial" w:hAnsi="Arial" w:cs="Arial"/>
        </w:rPr>
      </w:pPr>
      <w:r>
        <w:rPr>
          <w:rFonts w:ascii="Arial" w:hAnsi="Arial" w:cs="Arial"/>
        </w:rPr>
        <w:t>As propostas de preços dos licitantes habilitados serão então julgadas, conforme item próprio deste Instrumento Convocatório.</w:t>
      </w:r>
    </w:p>
    <w:p>
      <w:pPr>
        <w:pStyle w:val="36"/>
        <w:numPr>
          <w:ilvl w:val="1"/>
          <w:numId w:val="15"/>
        </w:numPr>
        <w:ind w:left="425" w:firstLine="0"/>
        <w:rPr>
          <w:rFonts w:ascii="Arial" w:hAnsi="Arial" w:cs="Arial"/>
        </w:rPr>
      </w:pPr>
      <w:r>
        <w:rPr>
          <w:rFonts w:ascii="Arial" w:hAnsi="Arial" w:cs="Arial"/>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pPr>
        <w:pStyle w:val="36"/>
        <w:numPr>
          <w:ilvl w:val="1"/>
          <w:numId w:val="15"/>
        </w:numPr>
        <w:ind w:left="425" w:firstLine="0"/>
        <w:rPr>
          <w:rFonts w:ascii="Arial" w:hAnsi="Arial" w:cs="Arial"/>
        </w:rPr>
      </w:pPr>
      <w:r>
        <w:rPr>
          <w:rFonts w:ascii="Arial" w:hAnsi="Arial" w:cs="Arial"/>
        </w:rPr>
        <w:t>Em todos os atos públicos, serão lavradas atas circunstanciadas, assinadas pelos membros da Comissão e pelos representantes credenciados e licitantes presentes.</w:t>
      </w:r>
    </w:p>
    <w:p>
      <w:pPr>
        <w:pStyle w:val="36"/>
        <w:numPr>
          <w:ilvl w:val="1"/>
          <w:numId w:val="15"/>
        </w:numPr>
        <w:ind w:left="425" w:firstLine="0"/>
        <w:rPr>
          <w:rFonts w:ascii="Arial" w:hAnsi="Arial" w:cs="Arial"/>
        </w:rPr>
      </w:pPr>
      <w:r>
        <w:rPr>
          <w:rFonts w:ascii="Arial" w:hAnsi="Arial" w:cs="Arial"/>
        </w:rPr>
        <w:t>Será considerado inabilitado o licitante que:</w:t>
      </w:r>
    </w:p>
    <w:p>
      <w:pPr>
        <w:pStyle w:val="38"/>
        <w:numPr>
          <w:ilvl w:val="2"/>
          <w:numId w:val="15"/>
        </w:numPr>
        <w:ind w:left="1134" w:firstLine="0"/>
        <w:rPr>
          <w:rFonts w:ascii="Arial" w:hAnsi="Arial"/>
        </w:rPr>
      </w:pPr>
      <w:r>
        <w:rPr>
          <w:rFonts w:ascii="Arial" w:hAnsi="Arial"/>
        </w:rPr>
        <w:t>Não apresentar os documentos exigidos por este Instrumento Convocatório no prazo de validade e/ou devidamente atualizados, ou não comprovar sua habilitação por meio do SICAF, ressalvado o disposto quanto à comprovação da regularidade fiscal das microempresas, empresas de pequeno porte e cooperativas enquadradas no artigo 34 da Lei n° 11.488, de 2007.</w:t>
      </w:r>
    </w:p>
    <w:p>
      <w:pPr>
        <w:pStyle w:val="38"/>
        <w:numPr>
          <w:ilvl w:val="2"/>
          <w:numId w:val="15"/>
        </w:numPr>
        <w:ind w:left="1134" w:firstLine="0"/>
        <w:rPr>
          <w:rFonts w:ascii="Arial" w:hAnsi="Arial"/>
        </w:rPr>
      </w:pPr>
      <w:r>
        <w:rPr>
          <w:rFonts w:ascii="Arial" w:hAnsi="Arial"/>
        </w:rPr>
        <w:t>Incluir a proposta de preços no Envelope n° 01.</w:t>
      </w:r>
    </w:p>
    <w:p>
      <w:pPr>
        <w:pStyle w:val="36"/>
        <w:numPr>
          <w:ilvl w:val="1"/>
          <w:numId w:val="15"/>
        </w:numPr>
        <w:ind w:left="425" w:firstLine="0"/>
        <w:rPr>
          <w:rFonts w:ascii="Arial" w:hAnsi="Arial" w:cs="Arial"/>
        </w:rPr>
      </w:pPr>
      <w:r>
        <w:rPr>
          <w:rFonts w:ascii="Arial" w:hAnsi="Arial" w:cs="Arial"/>
        </w:rPr>
        <w:t>Constatada a existência de alguma restrição no que tange à regularidade fiscal de microempresa, empresa de pequeno porte ou sociedade cooperativa,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pPr>
        <w:pStyle w:val="36"/>
        <w:numPr>
          <w:ilvl w:val="1"/>
          <w:numId w:val="15"/>
        </w:numPr>
        <w:ind w:left="425" w:firstLine="0"/>
        <w:rPr>
          <w:rFonts w:ascii="Arial" w:hAnsi="Arial" w:cs="Arial"/>
        </w:rPr>
      </w:pPr>
      <w:r>
        <w:rPr>
          <w:rFonts w:ascii="Arial" w:hAnsi="Arial" w:cs="Arial"/>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pPr>
        <w:pStyle w:val="36"/>
        <w:numPr>
          <w:ilvl w:val="1"/>
          <w:numId w:val="15"/>
        </w:numPr>
        <w:ind w:left="425" w:firstLine="0"/>
        <w:rPr>
          <w:rFonts w:ascii="Arial" w:hAnsi="Arial" w:cs="Arial"/>
        </w:rPr>
      </w:pPr>
      <w:r>
        <w:rPr>
          <w:rFonts w:ascii="Arial" w:hAnsi="Arial" w:cs="Arial"/>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pPr>
        <w:spacing w:after="120" w:line="276" w:lineRule="auto"/>
        <w:jc w:val="both"/>
        <w:rPr>
          <w:rFonts w:ascii="Arial" w:hAnsi="Arial" w:cs="Arial"/>
          <w:sz w:val="20"/>
        </w:rPr>
      </w:pPr>
    </w:p>
    <w:p>
      <w:pPr>
        <w:pStyle w:val="30"/>
        <w:widowControl/>
        <w:numPr>
          <w:ilvl w:val="0"/>
          <w:numId w:val="15"/>
        </w:numPr>
        <w:suppressAutoHyphens w:val="0"/>
        <w:spacing w:before="120" w:after="120" w:line="276" w:lineRule="auto"/>
        <w:ind w:left="0" w:firstLine="0"/>
        <w:contextualSpacing w:val="0"/>
        <w:jc w:val="both"/>
        <w:rPr>
          <w:rFonts w:ascii="Arial" w:hAnsi="Arial" w:cs="Arial"/>
          <w:b/>
          <w:sz w:val="20"/>
        </w:rPr>
      </w:pPr>
      <w:r>
        <w:rPr>
          <w:rFonts w:ascii="Arial" w:hAnsi="Arial" w:cs="Arial"/>
          <w:b/>
          <w:sz w:val="20"/>
        </w:rPr>
        <w:t>DO JULGAMENTO DAS PROPOSTAS</w:t>
      </w:r>
    </w:p>
    <w:p>
      <w:pPr>
        <w:pStyle w:val="30"/>
        <w:numPr>
          <w:ilvl w:val="1"/>
          <w:numId w:val="16"/>
        </w:numPr>
        <w:spacing w:before="120" w:after="120" w:line="276" w:lineRule="auto"/>
        <w:ind w:left="1145"/>
        <w:contextualSpacing w:val="0"/>
        <w:jc w:val="both"/>
        <w:rPr>
          <w:rFonts w:ascii="Arial" w:hAnsi="Arial" w:cs="Arial"/>
          <w:b/>
          <w:bCs/>
          <w:i/>
          <w:color w:val="FF0000"/>
          <w:sz w:val="20"/>
          <w:u w:val="single"/>
        </w:rPr>
      </w:pPr>
      <w:r>
        <w:rPr>
          <w:rFonts w:ascii="Arial" w:hAnsi="Arial" w:cs="Arial"/>
          <w:b/>
          <w:bCs/>
          <w:sz w:val="20"/>
          <w:u w:val="single"/>
        </w:rPr>
        <w:t xml:space="preserve">O critério de julgamento será </w:t>
      </w:r>
      <w:r>
        <w:rPr>
          <w:rFonts w:ascii="Arial" w:hAnsi="Arial" w:cs="Arial"/>
          <w:b/>
          <w:bCs/>
          <w:i/>
          <w:color w:val="auto"/>
          <w:sz w:val="20"/>
          <w:u w:val="single"/>
        </w:rPr>
        <w:t>o menor preço global</w:t>
      </w: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0"/>
          <w:numId w:val="1"/>
        </w:numPr>
        <w:suppressAutoHyphens w:val="0"/>
        <w:spacing w:before="120" w:after="120" w:line="276" w:lineRule="auto"/>
        <w:contextualSpacing w:val="0"/>
        <w:jc w:val="both"/>
        <w:rPr>
          <w:rFonts w:ascii="Arial" w:hAnsi="Arial" w:cs="Arial"/>
          <w:b/>
          <w:vanish/>
          <w:sz w:val="20"/>
        </w:rPr>
      </w:pPr>
    </w:p>
    <w:p>
      <w:pPr>
        <w:pStyle w:val="30"/>
        <w:widowControl/>
        <w:numPr>
          <w:ilvl w:val="1"/>
          <w:numId w:val="1"/>
        </w:numPr>
        <w:suppressAutoHyphens w:val="0"/>
        <w:spacing w:before="120" w:after="120" w:line="276" w:lineRule="auto"/>
        <w:contextualSpacing w:val="0"/>
        <w:jc w:val="both"/>
        <w:rPr>
          <w:rFonts w:ascii="Arial" w:hAnsi="Arial" w:cs="Arial"/>
          <w:vanish/>
          <w:sz w:val="20"/>
        </w:rPr>
      </w:pPr>
    </w:p>
    <w:p>
      <w:pPr>
        <w:pStyle w:val="36"/>
        <w:rPr>
          <w:rFonts w:ascii="Arial" w:hAnsi="Arial" w:cs="Arial"/>
        </w:rPr>
      </w:pPr>
      <w:r>
        <w:rPr>
          <w:rFonts w:ascii="Arial" w:hAnsi="Arial" w:cs="Arial"/>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pPr>
        <w:pStyle w:val="36"/>
        <w:ind w:left="425" w:firstLine="0"/>
        <w:rPr>
          <w:rFonts w:ascii="Arial" w:hAnsi="Arial" w:cs="Arial"/>
        </w:rPr>
      </w:pPr>
      <w:r>
        <w:rPr>
          <w:rFonts w:ascii="Arial" w:hAnsi="Arial" w:cs="Arial"/>
        </w:rPr>
        <w:t>A Comissão de Licitação verificará as propostas apresentadas, desclassificando desde logo aquelas que não estejam em conformidade com os requisitos estabelecidos neste Edital.</w:t>
      </w:r>
    </w:p>
    <w:p>
      <w:pPr>
        <w:pStyle w:val="36"/>
        <w:ind w:left="425" w:firstLine="0"/>
        <w:rPr>
          <w:rFonts w:ascii="Arial" w:hAnsi="Arial" w:cs="Arial"/>
        </w:rPr>
      </w:pPr>
      <w:r>
        <w:rPr>
          <w:rFonts w:ascii="Arial" w:hAnsi="Arial" w:cs="Arial"/>
        </w:rPr>
        <w:t>Não será considerada qualquer oferta ou vantagem não prevista neste Edital, para efeito de julgamento da proposta.</w:t>
      </w:r>
    </w:p>
    <w:p>
      <w:pPr>
        <w:pStyle w:val="36"/>
        <w:ind w:left="425" w:firstLine="0"/>
        <w:rPr>
          <w:rFonts w:ascii="Arial" w:hAnsi="Arial" w:cs="Arial"/>
        </w:rPr>
      </w:pPr>
      <w:r>
        <w:rPr>
          <w:rFonts w:ascii="Arial" w:hAnsi="Arial" w:cs="Arial"/>
        </w:rPr>
        <w:t xml:space="preserve">As propostas serão classificadas em ordem crescente de preços propostos. </w:t>
      </w:r>
    </w:p>
    <w:p>
      <w:pPr>
        <w:pStyle w:val="36"/>
        <w:ind w:left="425" w:firstLine="0"/>
        <w:rPr>
          <w:rFonts w:ascii="Arial" w:hAnsi="Arial" w:eastAsia="Zurich BT" w:cs="Arial"/>
          <w:bCs/>
        </w:rPr>
      </w:pPr>
      <w:r>
        <w:rPr>
          <w:rFonts w:ascii="Arial" w:hAnsi="Arial" w:cs="Arial"/>
        </w:rPr>
        <w:t xml:space="preserve">A Comissão de Licitação verificará o porte das empresas licitantes classificadas. Havendo </w:t>
      </w:r>
      <w:r>
        <w:rPr>
          <w:rFonts w:ascii="Arial" w:hAnsi="Arial" w:eastAsia="Zurich BT" w:cs="Arial"/>
          <w:bCs/>
        </w:rPr>
        <w:t xml:space="preserve">microempresas, empresas de pequeno porte </w:t>
      </w:r>
      <w:r>
        <w:rPr>
          <w:rFonts w:ascii="Arial" w:hAnsi="Arial" w:eastAsia="Zurich BT" w:cs="Arial"/>
          <w:bCs/>
          <w:highlight w:val="none"/>
        </w:rPr>
        <w:t>e sociedades cooperativas participantes</w:t>
      </w:r>
      <w:r>
        <w:rPr>
          <w:rFonts w:ascii="Arial" w:hAnsi="Arial" w:eastAsia="Zurich BT" w:cs="Arial"/>
          <w:bCs/>
        </w:rPr>
        <w:t>, proceder-se-á à comparação com os valores da primeira colocada, se esta for empresa de maior porte, para o fim de aplicar-se o disposto nos arts. 44 e 45 da LC nº 123, de 2006, regulamentada pelo Decreto nº 8.538, de 2015.</w:t>
      </w:r>
    </w:p>
    <w:p>
      <w:pPr>
        <w:pStyle w:val="30"/>
        <w:numPr>
          <w:ilvl w:val="2"/>
          <w:numId w:val="17"/>
        </w:numPr>
        <w:spacing w:before="120" w:after="120" w:line="276" w:lineRule="auto"/>
        <w:ind w:left="1854"/>
        <w:contextualSpacing w:val="0"/>
        <w:jc w:val="both"/>
        <w:rPr>
          <w:rFonts w:ascii="Arial" w:hAnsi="Arial" w:cs="Arial"/>
          <w:color w:val="000000"/>
          <w:sz w:val="20"/>
        </w:rPr>
      </w:pPr>
      <w:r>
        <w:rPr>
          <w:rFonts w:ascii="Arial" w:hAnsi="Arial" w:cs="Arial"/>
          <w:color w:val="000000"/>
          <w:sz w:val="20"/>
        </w:rPr>
        <w:t xml:space="preserve">Nessas condições, as propostas de </w:t>
      </w:r>
      <w:r>
        <w:rPr>
          <w:rFonts w:ascii="Arial" w:hAnsi="Arial" w:eastAsia="Zurich BT" w:cs="Arial"/>
          <w:bCs/>
          <w:sz w:val="20"/>
        </w:rPr>
        <w:t>microempresas, empresas de pequeno porte</w:t>
      </w:r>
      <w:r>
        <w:rPr>
          <w:rFonts w:ascii="Arial" w:hAnsi="Arial" w:cs="Arial"/>
          <w:color w:val="000000"/>
          <w:sz w:val="20"/>
        </w:rPr>
        <w:t xml:space="preserve"> </w:t>
      </w:r>
      <w:r>
        <w:rPr>
          <w:rFonts w:ascii="Arial" w:hAnsi="Arial" w:cs="Arial"/>
          <w:color w:val="auto"/>
          <w:sz w:val="20"/>
          <w:highlight w:val="none"/>
        </w:rPr>
        <w:t xml:space="preserve">e </w:t>
      </w:r>
      <w:r>
        <w:rPr>
          <w:rFonts w:ascii="Arial" w:hAnsi="Arial" w:eastAsia="Zurich BT" w:cs="Arial"/>
          <w:bCs/>
          <w:color w:val="auto"/>
          <w:sz w:val="20"/>
          <w:highlight w:val="none"/>
        </w:rPr>
        <w:t>sociedades cooperativas</w:t>
      </w:r>
      <w:r>
        <w:rPr>
          <w:rFonts w:ascii="Arial" w:hAnsi="Arial" w:eastAsia="Zurich BT" w:cs="Arial"/>
          <w:bCs/>
          <w:sz w:val="20"/>
        </w:rPr>
        <w:t xml:space="preserve"> </w:t>
      </w:r>
      <w:r>
        <w:rPr>
          <w:rFonts w:ascii="Arial" w:hAnsi="Arial" w:cs="Arial"/>
          <w:color w:val="000000"/>
          <w:sz w:val="20"/>
        </w:rPr>
        <w:t>que se encontrarem na faixa de até 10% (dez por cento) acima da proposta de menor preço serão consideradas empatadas com a primeira colocada.</w:t>
      </w:r>
    </w:p>
    <w:p>
      <w:pPr>
        <w:numPr>
          <w:ilvl w:val="2"/>
          <w:numId w:val="17"/>
        </w:numPr>
        <w:spacing w:before="120" w:after="120" w:line="276" w:lineRule="auto"/>
        <w:ind w:left="1134" w:firstLine="0"/>
        <w:jc w:val="both"/>
        <w:rPr>
          <w:rFonts w:ascii="Arial" w:hAnsi="Arial" w:cs="Arial"/>
          <w:color w:val="000000"/>
          <w:sz w:val="20"/>
        </w:rPr>
      </w:pPr>
      <w:r>
        <w:rPr>
          <w:rFonts w:ascii="Arial" w:hAnsi="Arial" w:cs="Arial"/>
          <w:sz w:val="20"/>
        </w:rPr>
        <w:t>A melhor classificada nos termos do item anterior terá o direito de encaminhar uma</w:t>
      </w:r>
      <w:r>
        <w:rPr>
          <w:rFonts w:ascii="Arial" w:hAnsi="Arial" w:cs="Arial"/>
          <w:color w:val="000000"/>
          <w:sz w:val="20"/>
        </w:rPr>
        <w:t xml:space="preserve"> última oferta para desempate, obrigatoriamente em valor inferior ao da primeira colocada, no prazo de </w:t>
      </w:r>
      <w:r>
        <w:rPr>
          <w:rFonts w:hint="default" w:ascii="Arial" w:hAnsi="Arial" w:cs="Arial"/>
          <w:color w:val="000000"/>
          <w:sz w:val="20"/>
          <w:lang w:val="pt-BR"/>
        </w:rPr>
        <w:t xml:space="preserve">10 </w:t>
      </w:r>
      <w:r>
        <w:rPr>
          <w:rFonts w:ascii="Arial" w:hAnsi="Arial" w:cs="Arial"/>
          <w:color w:val="auto"/>
          <w:sz w:val="20"/>
        </w:rPr>
        <w:t>(</w:t>
      </w:r>
      <w:r>
        <w:rPr>
          <w:rFonts w:hint="default" w:ascii="Arial" w:hAnsi="Arial" w:cs="Arial"/>
          <w:color w:val="auto"/>
          <w:sz w:val="20"/>
          <w:lang w:val="pt-BR"/>
        </w:rPr>
        <w:t>Dez</w:t>
      </w:r>
      <w:r>
        <w:rPr>
          <w:rFonts w:ascii="Arial" w:hAnsi="Arial" w:cs="Arial"/>
          <w:color w:val="auto"/>
          <w:sz w:val="20"/>
        </w:rPr>
        <w:t xml:space="preserve">) </w:t>
      </w:r>
      <w:r>
        <w:rPr>
          <w:rFonts w:ascii="Arial" w:hAnsi="Arial" w:cs="Arial"/>
          <w:color w:val="000000"/>
          <w:sz w:val="20"/>
        </w:rPr>
        <w:t xml:space="preserve">minutos, caso esteja presente na sessão ou no prazo de </w:t>
      </w:r>
      <w:r>
        <w:rPr>
          <w:rFonts w:hint="default" w:ascii="Arial" w:hAnsi="Arial" w:cs="Arial"/>
          <w:color w:val="000000"/>
          <w:sz w:val="20"/>
          <w:lang w:val="pt-BR"/>
        </w:rPr>
        <w:t>02</w:t>
      </w:r>
      <w:r>
        <w:rPr>
          <w:rFonts w:ascii="Arial" w:hAnsi="Arial" w:cs="Arial"/>
          <w:color w:val="auto"/>
          <w:sz w:val="20"/>
        </w:rPr>
        <w:t>(</w:t>
      </w:r>
      <w:r>
        <w:rPr>
          <w:rFonts w:hint="default" w:ascii="Arial" w:hAnsi="Arial" w:cs="Arial"/>
          <w:color w:val="auto"/>
          <w:sz w:val="20"/>
          <w:lang w:val="pt-BR"/>
        </w:rPr>
        <w:t>Dois</w:t>
      </w:r>
      <w:r>
        <w:rPr>
          <w:rFonts w:ascii="Arial" w:hAnsi="Arial" w:cs="Arial"/>
          <w:color w:val="auto"/>
          <w:sz w:val="20"/>
        </w:rPr>
        <w:t xml:space="preserve">) </w:t>
      </w:r>
      <w:r>
        <w:rPr>
          <w:rFonts w:ascii="Arial" w:hAnsi="Arial" w:cs="Arial"/>
          <w:color w:val="000000"/>
          <w:sz w:val="20"/>
        </w:rPr>
        <w:t>dias, contados da comunicação da Comissão de Licitação, na hipótese de ausência. Neste caso, a oferta deverá ser escrita e assinada para posterior inclusão nos autos do processo licitatório.</w:t>
      </w:r>
    </w:p>
    <w:p>
      <w:pPr>
        <w:numPr>
          <w:ilvl w:val="2"/>
          <w:numId w:val="17"/>
        </w:numPr>
        <w:spacing w:before="120" w:after="120" w:line="276" w:lineRule="auto"/>
        <w:ind w:left="1134" w:firstLine="0"/>
        <w:jc w:val="both"/>
        <w:rPr>
          <w:rFonts w:ascii="Arial" w:hAnsi="Arial" w:cs="Arial"/>
          <w:sz w:val="20"/>
        </w:rPr>
      </w:pPr>
      <w:r>
        <w:rPr>
          <w:rFonts w:ascii="Arial" w:hAnsi="Arial" w:cs="Arial"/>
          <w:color w:val="000000"/>
          <w:sz w:val="20"/>
        </w:rPr>
        <w:t xml:space="preserve">Caso a </w:t>
      </w:r>
      <w:r>
        <w:rPr>
          <w:rFonts w:ascii="Arial" w:hAnsi="Arial" w:eastAsia="Zurich BT" w:cs="Arial"/>
          <w:bCs/>
          <w:sz w:val="20"/>
        </w:rPr>
        <w:t xml:space="preserve">microempresa, empresa de pequeno porte </w:t>
      </w:r>
      <w:r>
        <w:rPr>
          <w:rFonts w:ascii="Arial" w:hAnsi="Arial" w:eastAsia="Zurich BT" w:cs="Arial"/>
          <w:bCs/>
          <w:sz w:val="20"/>
          <w:highlight w:val="none"/>
        </w:rPr>
        <w:t xml:space="preserve">ou sociedade cooperativa </w:t>
      </w:r>
      <w:r>
        <w:rPr>
          <w:rFonts w:ascii="Arial" w:hAnsi="Arial" w:cs="Arial"/>
          <w:color w:val="000000"/>
          <w:sz w:val="20"/>
          <w:highlight w:val="none"/>
        </w:rPr>
        <w:t xml:space="preserve">melhor classificada desista ou não se manifeste no prazo estabelecido, serão convocadas as demais licitantes </w:t>
      </w:r>
      <w:r>
        <w:rPr>
          <w:rFonts w:ascii="Arial" w:hAnsi="Arial" w:eastAsia="Zurich BT" w:cs="Arial"/>
          <w:bCs/>
          <w:sz w:val="20"/>
          <w:highlight w:val="none"/>
        </w:rPr>
        <w:t xml:space="preserve">microempresas, empresas de pequeno porte e sociedades cooperativas </w:t>
      </w:r>
      <w:r>
        <w:rPr>
          <w:rFonts w:ascii="Arial" w:hAnsi="Arial" w:cs="Arial"/>
          <w:color w:val="000000"/>
          <w:sz w:val="20"/>
          <w:highlight w:val="none"/>
        </w:rPr>
        <w:t>que se encontrem naquele intervalo de 10% (dez por cento), n</w:t>
      </w:r>
      <w:r>
        <w:rPr>
          <w:rFonts w:ascii="Arial" w:hAnsi="Arial" w:cs="Arial"/>
          <w:color w:val="000000"/>
          <w:sz w:val="20"/>
        </w:rPr>
        <w:t xml:space="preserve">a ordem de classificação, </w:t>
      </w:r>
      <w:r>
        <w:rPr>
          <w:rFonts w:ascii="Arial" w:hAnsi="Arial" w:cs="Arial"/>
          <w:sz w:val="20"/>
        </w:rPr>
        <w:t>para o exercício do mesmo direito, nos mesmos prazos estabelecidos no subitem anterior.</w:t>
      </w:r>
    </w:p>
    <w:p>
      <w:pPr>
        <w:numPr>
          <w:ilvl w:val="1"/>
          <w:numId w:val="17"/>
        </w:numPr>
        <w:spacing w:before="120" w:after="120" w:line="276" w:lineRule="auto"/>
        <w:ind w:left="425" w:firstLine="0"/>
        <w:jc w:val="both"/>
        <w:rPr>
          <w:rFonts w:ascii="Arial" w:hAnsi="Arial" w:cs="Arial"/>
          <w:sz w:val="20"/>
        </w:rPr>
      </w:pPr>
      <w:r>
        <w:rPr>
          <w:rFonts w:ascii="Arial" w:hAnsi="Arial" w:cs="Arial"/>
          <w:sz w:val="20"/>
        </w:rPr>
        <w:t>Caso sejam identificadas propostas de preços idênticos de microempresa, empresa de</w:t>
      </w:r>
      <w:r>
        <w:rPr>
          <w:rFonts w:ascii="Arial" w:hAnsi="Arial" w:eastAsia="Zurich BT" w:cs="Arial"/>
          <w:bCs/>
          <w:sz w:val="20"/>
        </w:rPr>
        <w:t xml:space="preserve"> pequeno porte ou sociedade cooperativa empatadas na faixa de até 10% (dez por cento) sobre o valor cotado pela primeira colocada, a Comissão de Licitação convocará os licitantes para que compareçam ao sorteio na data e horário estipulados, </w:t>
      </w:r>
      <w:r>
        <w:rPr>
          <w:rFonts w:ascii="Arial" w:hAnsi="Arial" w:cs="Arial"/>
          <w:sz w:val="20"/>
        </w:rPr>
        <w:t>para que se identifique aquela que primeiro poderá reduzir a oferta.</w:t>
      </w:r>
    </w:p>
    <w:p>
      <w:pPr>
        <w:numPr>
          <w:ilvl w:val="1"/>
          <w:numId w:val="17"/>
        </w:numPr>
        <w:spacing w:before="120" w:after="120" w:line="276" w:lineRule="auto"/>
        <w:ind w:left="425" w:firstLine="0"/>
        <w:jc w:val="both"/>
        <w:rPr>
          <w:rFonts w:ascii="Arial" w:hAnsi="Arial" w:cs="Arial"/>
          <w:sz w:val="20"/>
        </w:rPr>
      </w:pPr>
      <w:r>
        <w:rPr>
          <w:rFonts w:ascii="Arial" w:hAnsi="Arial" w:cs="Arial"/>
          <w:sz w:val="20"/>
        </w:rPr>
        <w:t>Havendo êxito no procedimento de desempate, será elaborada a nova classificação das propostas para fins de aceitação do valor ofertado. Não sendo aplicável o procedimento, ou não havendo êxito na aplicação deste, prevalecerá a classificação inicial.</w:t>
      </w:r>
    </w:p>
    <w:p>
      <w:pPr>
        <w:numPr>
          <w:ilvl w:val="1"/>
          <w:numId w:val="17"/>
        </w:numPr>
        <w:spacing w:before="120" w:after="120" w:line="276" w:lineRule="auto"/>
        <w:ind w:left="425" w:firstLine="0"/>
        <w:jc w:val="both"/>
        <w:rPr>
          <w:rFonts w:ascii="Arial" w:hAnsi="Arial" w:cs="Arial"/>
          <w:color w:val="000000"/>
          <w:sz w:val="20"/>
        </w:rPr>
      </w:pPr>
      <w:r>
        <w:rPr>
          <w:rFonts w:ascii="Arial" w:hAnsi="Arial" w:cs="Arial"/>
          <w:color w:val="000000"/>
          <w:sz w:val="20"/>
        </w:rPr>
        <w:t>Persistindo o empate, será assegurada preferência, sucessivamente, aos bens e serviços:</w:t>
      </w:r>
    </w:p>
    <w:p>
      <w:pPr>
        <w:numPr>
          <w:ilvl w:val="2"/>
          <w:numId w:val="17"/>
        </w:numPr>
        <w:spacing w:before="120" w:after="120" w:line="276" w:lineRule="auto"/>
        <w:ind w:left="1134" w:firstLine="0"/>
        <w:jc w:val="both"/>
        <w:rPr>
          <w:rFonts w:ascii="Arial" w:hAnsi="Arial" w:cs="Arial"/>
          <w:color w:val="000000"/>
          <w:sz w:val="20"/>
        </w:rPr>
      </w:pPr>
      <w:r>
        <w:rPr>
          <w:rFonts w:ascii="Arial" w:hAnsi="Arial" w:cs="Arial"/>
          <w:color w:val="000000"/>
          <w:sz w:val="20"/>
        </w:rPr>
        <w:t xml:space="preserve">produzidos no País; </w:t>
      </w:r>
    </w:p>
    <w:p>
      <w:pPr>
        <w:numPr>
          <w:ilvl w:val="2"/>
          <w:numId w:val="17"/>
        </w:numPr>
        <w:spacing w:before="120" w:after="120" w:line="276" w:lineRule="auto"/>
        <w:ind w:left="1134" w:firstLine="0"/>
        <w:jc w:val="both"/>
        <w:rPr>
          <w:rFonts w:ascii="Arial" w:hAnsi="Arial" w:cs="Arial"/>
          <w:color w:val="000000"/>
          <w:sz w:val="20"/>
        </w:rPr>
      </w:pPr>
      <w:r>
        <w:rPr>
          <w:rFonts w:ascii="Arial" w:hAnsi="Arial" w:cs="Arial"/>
          <w:color w:val="000000"/>
          <w:sz w:val="20"/>
        </w:rPr>
        <w:t>produzidos ou prestados por empresas brasileiras;</w:t>
      </w:r>
    </w:p>
    <w:p>
      <w:pPr>
        <w:numPr>
          <w:ilvl w:val="2"/>
          <w:numId w:val="17"/>
        </w:numPr>
        <w:spacing w:before="120" w:after="120" w:line="276" w:lineRule="auto"/>
        <w:ind w:left="1134" w:firstLine="0"/>
        <w:jc w:val="both"/>
        <w:rPr>
          <w:rFonts w:ascii="Arial" w:hAnsi="Arial" w:cs="Arial"/>
          <w:color w:val="000000"/>
          <w:sz w:val="20"/>
        </w:rPr>
      </w:pPr>
      <w:r>
        <w:rPr>
          <w:rFonts w:ascii="Arial" w:hAnsi="Arial" w:cs="Arial"/>
          <w:color w:val="000000"/>
          <w:sz w:val="20"/>
        </w:rPr>
        <w:t>produzidos ou prestados por empresas que invistam em pesquisa e no desenvolvimento de tecnologia no País.</w:t>
      </w:r>
    </w:p>
    <w:p>
      <w:pPr>
        <w:pStyle w:val="38"/>
        <w:numPr>
          <w:ilvl w:val="2"/>
          <w:numId w:val="17"/>
        </w:numPr>
        <w:rPr>
          <w:rFonts w:ascii="Arial" w:hAnsi="Arial"/>
        </w:rPr>
      </w:pPr>
      <w:r>
        <w:rPr>
          <w:rFonts w:ascii="Arial" w:hAnsi="Arial"/>
        </w:rPr>
        <w:t>produzidos ou prestados por empresas que comprovem cumprimento de reserva de cargos prevista em lei para pessoa com deficiência ou para reabilitado da Previdência Social e que atendam às regras de acessibilidade previstas na legislação.</w:t>
      </w:r>
    </w:p>
    <w:p>
      <w:pPr>
        <w:numPr>
          <w:ilvl w:val="1"/>
          <w:numId w:val="17"/>
        </w:numPr>
        <w:spacing w:before="120" w:after="120" w:line="276" w:lineRule="auto"/>
        <w:ind w:left="425" w:firstLine="0"/>
        <w:jc w:val="both"/>
        <w:rPr>
          <w:rFonts w:ascii="Arial" w:hAnsi="Arial" w:cs="Arial"/>
          <w:sz w:val="20"/>
        </w:rPr>
      </w:pPr>
      <w:r>
        <w:rPr>
          <w:rFonts w:ascii="Arial" w:hAnsi="Arial" w:cs="Arial"/>
          <w:color w:val="000000"/>
          <w:sz w:val="20"/>
        </w:rPr>
        <w:t>Esgotados todos os demais critérios de desempate previstos em lei, a escolha do licitante vencedor ocorrerá por meio de sorteio, para o qual os licitantes habilitados serão convocados.</w:t>
      </w:r>
    </w:p>
    <w:p>
      <w:pPr>
        <w:numPr>
          <w:ilvl w:val="1"/>
          <w:numId w:val="17"/>
        </w:numPr>
        <w:spacing w:before="120" w:after="120" w:line="276" w:lineRule="auto"/>
        <w:ind w:left="425" w:firstLine="0"/>
        <w:jc w:val="both"/>
        <w:rPr>
          <w:rFonts w:ascii="Arial" w:hAnsi="Arial" w:cs="Arial"/>
          <w:sz w:val="20"/>
        </w:rPr>
      </w:pPr>
      <w:r>
        <w:rPr>
          <w:rFonts w:ascii="Arial" w:hAnsi="Arial" w:cs="Arial"/>
          <w:sz w:val="20"/>
        </w:rPr>
        <w:t xml:space="preserve">Quando todos os licitantes forem desclassificados, a Comissão de Licitação poderá fixar o prazo de 8 (oito) dias úteis para a apresentação de novas propostas, escoimadas das causas de desclassificação. </w:t>
      </w:r>
    </w:p>
    <w:p>
      <w:pPr>
        <w:pStyle w:val="6"/>
        <w:numPr>
          <w:ilvl w:val="1"/>
          <w:numId w:val="17"/>
        </w:numPr>
        <w:spacing w:before="120" w:line="276" w:lineRule="auto"/>
        <w:jc w:val="both"/>
        <w:rPr>
          <w:rFonts w:ascii="Arial" w:hAnsi="Arial" w:cs="Arial"/>
          <w:color w:val="000000"/>
          <w:sz w:val="20"/>
        </w:rPr>
      </w:pPr>
      <w:r>
        <w:rPr>
          <w:rFonts w:ascii="Arial" w:hAnsi="Arial" w:cs="Arial"/>
          <w:sz w:val="20"/>
        </w:rPr>
        <w:t>Será desclassificada a proposta que:</w:t>
      </w:r>
    </w:p>
    <w:p>
      <w:pPr>
        <w:numPr>
          <w:ilvl w:val="2"/>
          <w:numId w:val="17"/>
        </w:numPr>
        <w:spacing w:before="120" w:after="120" w:line="276" w:lineRule="auto"/>
        <w:jc w:val="both"/>
        <w:rPr>
          <w:rFonts w:ascii="Arial" w:hAnsi="Arial" w:cs="Arial"/>
          <w:sz w:val="20"/>
        </w:rPr>
      </w:pPr>
      <w:r>
        <w:rPr>
          <w:rFonts w:ascii="Arial" w:hAnsi="Arial" w:cs="Arial"/>
          <w:sz w:val="20"/>
        </w:rPr>
        <w:t>não estiver em conformidade com os requisitos estabelecidos neste edital;</w:t>
      </w:r>
    </w:p>
    <w:p>
      <w:pPr>
        <w:numPr>
          <w:ilvl w:val="2"/>
          <w:numId w:val="17"/>
        </w:numPr>
        <w:spacing w:before="120" w:after="120" w:line="276" w:lineRule="auto"/>
        <w:jc w:val="both"/>
        <w:rPr>
          <w:rFonts w:ascii="Arial" w:hAnsi="Arial" w:cs="Arial"/>
          <w:sz w:val="20"/>
        </w:rPr>
      </w:pPr>
      <w:r>
        <w:rPr>
          <w:rFonts w:ascii="Arial" w:hAnsi="Arial" w:cs="Arial"/>
          <w:sz w:val="20"/>
        </w:rPr>
        <w:t>contiver vício insanável ou ilegalidade;</w:t>
      </w:r>
    </w:p>
    <w:p>
      <w:pPr>
        <w:numPr>
          <w:ilvl w:val="2"/>
          <w:numId w:val="17"/>
        </w:numPr>
        <w:spacing w:before="120" w:after="120" w:line="276" w:lineRule="auto"/>
        <w:jc w:val="both"/>
        <w:rPr>
          <w:rFonts w:ascii="Arial" w:hAnsi="Arial" w:cs="Arial"/>
          <w:sz w:val="20"/>
        </w:rPr>
      </w:pPr>
      <w:r>
        <w:rPr>
          <w:rFonts w:ascii="Arial" w:hAnsi="Arial" w:cs="Arial"/>
          <w:sz w:val="20"/>
        </w:rPr>
        <w:t>não apresentar as especificações técnicas exigidas no projeto básico ou anexos;</w:t>
      </w:r>
    </w:p>
    <w:p>
      <w:pPr>
        <w:numPr>
          <w:ilvl w:val="2"/>
          <w:numId w:val="17"/>
        </w:numPr>
        <w:spacing w:before="120" w:after="120" w:line="276" w:lineRule="auto"/>
        <w:jc w:val="both"/>
        <w:rPr>
          <w:rFonts w:ascii="Arial" w:hAnsi="Arial" w:cs="Arial"/>
          <w:sz w:val="20"/>
        </w:rPr>
      </w:pPr>
      <w:r>
        <w:rPr>
          <w:rFonts w:ascii="Arial" w:hAnsi="Arial" w:cs="Arial"/>
          <w:sz w:val="20"/>
        </w:rPr>
        <w:t>Apresentar, na composição de seus preços:</w:t>
      </w:r>
    </w:p>
    <w:p>
      <w:pPr>
        <w:widowControl/>
        <w:numPr>
          <w:ilvl w:val="3"/>
          <w:numId w:val="17"/>
        </w:numPr>
        <w:suppressAutoHyphens w:val="0"/>
        <w:spacing w:before="120" w:after="120" w:line="276" w:lineRule="auto"/>
        <w:jc w:val="both"/>
        <w:rPr>
          <w:rFonts w:ascii="Arial" w:hAnsi="Arial" w:cs="Arial"/>
          <w:sz w:val="20"/>
        </w:rPr>
      </w:pPr>
      <w:r>
        <w:rPr>
          <w:rFonts w:ascii="Arial" w:hAnsi="Arial" w:cs="Arial"/>
          <w:sz w:val="20"/>
        </w:rPr>
        <w:t>taxa de Encargos Sociais ou taxa de B.D.I. inverossímil;</w:t>
      </w:r>
    </w:p>
    <w:p>
      <w:pPr>
        <w:widowControl/>
        <w:numPr>
          <w:ilvl w:val="3"/>
          <w:numId w:val="17"/>
        </w:numPr>
        <w:suppressAutoHyphens w:val="0"/>
        <w:spacing w:before="120" w:after="120" w:line="276" w:lineRule="auto"/>
        <w:jc w:val="both"/>
        <w:rPr>
          <w:rFonts w:ascii="Arial" w:hAnsi="Arial" w:cs="Arial"/>
          <w:sz w:val="20"/>
        </w:rPr>
      </w:pPr>
      <w:r>
        <w:rPr>
          <w:rFonts w:ascii="Arial" w:hAnsi="Arial" w:cs="Arial"/>
          <w:sz w:val="20"/>
        </w:rPr>
        <w:t>custo de insumos em desacordo com os preços de mercado;</w:t>
      </w:r>
    </w:p>
    <w:p>
      <w:pPr>
        <w:widowControl/>
        <w:numPr>
          <w:ilvl w:val="3"/>
          <w:numId w:val="17"/>
        </w:numPr>
        <w:suppressAutoHyphens w:val="0"/>
        <w:spacing w:before="120" w:after="120" w:line="276" w:lineRule="auto"/>
        <w:jc w:val="both"/>
        <w:rPr>
          <w:rFonts w:ascii="Arial" w:hAnsi="Arial" w:cs="Arial"/>
          <w:sz w:val="20"/>
        </w:rPr>
      </w:pPr>
      <w:r>
        <w:rPr>
          <w:rFonts w:ascii="Arial" w:hAnsi="Arial" w:cs="Arial"/>
          <w:sz w:val="20"/>
        </w:rPr>
        <w:t>quantitativos de mão-de-obra, materiais ou equipamentos insuficientes para compor a unidade dos serviços.</w:t>
      </w:r>
    </w:p>
    <w:p>
      <w:pPr>
        <w:pStyle w:val="46"/>
        <w:keepNext w:val="0"/>
        <w:widowControl/>
        <w:numPr>
          <w:ilvl w:val="1"/>
          <w:numId w:val="17"/>
        </w:numPr>
        <w:spacing w:before="120" w:after="120"/>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w:t>
      </w:r>
      <w:r>
        <w:rPr>
          <w:rFonts w:ascii="Arial" w:hAnsi="Arial" w:cs="Arial"/>
          <w:iCs/>
          <w:color w:val="000000" w:themeColor="text1"/>
          <w:szCs w:val="20"/>
          <w14:textFill>
            <w14:solidFill>
              <w14:schemeClr w14:val="tx1"/>
            </w14:solidFill>
          </w14:textFill>
        </w:rPr>
        <w:t>o preço de cada uma das etapas previstas no cronograma físico-financeiro não superar os valores de referência discriminados nos projetos anexos a este edital</w:t>
      </w:r>
      <w:r>
        <w:rPr>
          <w:rFonts w:ascii="Arial" w:hAnsi="Arial" w:cs="Arial"/>
          <w:color w:val="000000" w:themeColor="text1"/>
          <w:szCs w:val="20"/>
          <w14:textFill>
            <w14:solidFill>
              <w14:schemeClr w14:val="tx1"/>
            </w14:solidFill>
          </w14:textFill>
        </w:rPr>
        <w:t xml:space="preserve">. </w:t>
      </w:r>
    </w:p>
    <w:p>
      <w:pPr>
        <w:pStyle w:val="46"/>
        <w:keepNext w:val="0"/>
        <w:widowControl/>
        <w:numPr>
          <w:ilvl w:val="1"/>
          <w:numId w:val="17"/>
        </w:numPr>
        <w:spacing w:before="120" w:after="120"/>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Ainda nessa hipótese</w:t>
      </w:r>
      <w:r>
        <w:rPr>
          <w:rFonts w:ascii="Arial" w:hAnsi="Arial" w:cs="Arial"/>
          <w:iCs/>
          <w:color w:val="000000" w:themeColor="text1"/>
          <w:szCs w:val="20"/>
          <w14:textFill>
            <w14:solidFill>
              <w14:schemeClr w14:val="tx1"/>
            </w14:solidFill>
          </w14:textFill>
        </w:rPr>
        <w:t>,</w:t>
      </w:r>
      <w:r>
        <w:rPr>
          <w:rFonts w:ascii="Arial" w:hAnsi="Arial" w:cs="Arial"/>
          <w:color w:val="000000" w:themeColor="text1"/>
          <w:szCs w:val="20"/>
          <w14:textFill>
            <w14:solidFill>
              <w14:schemeClr w14:val="tx1"/>
            </w14:solidFill>
          </w14:textFill>
        </w:rPr>
        <w:t xml:space="preserve"> de o regime de execução ser o de empreitada por preço global ou empreitada integral,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 </w:t>
      </w:r>
    </w:p>
    <w:p>
      <w:pPr>
        <w:pStyle w:val="46"/>
        <w:keepNext w:val="0"/>
        <w:widowControl/>
        <w:numPr>
          <w:ilvl w:val="1"/>
          <w:numId w:val="17"/>
        </w:numPr>
        <w:shd w:val="clear" w:color="auto" w:fill="auto"/>
        <w:spacing w:before="120" w:after="120"/>
        <w:textAlignment w:val="auto"/>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 xml:space="preserve">Caso o Regime de Execução seja o 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 </w:t>
      </w:r>
    </w:p>
    <w:p>
      <w:pPr>
        <w:pStyle w:val="46"/>
        <w:keepNext w:val="0"/>
        <w:widowControl/>
        <w:numPr>
          <w:ilvl w:val="1"/>
          <w:numId w:val="17"/>
        </w:numPr>
        <w:shd w:val="clear" w:color="auto" w:fill="auto"/>
        <w:spacing w:before="120" w:after="120"/>
        <w:textAlignment w:val="auto"/>
        <w:rPr>
          <w:rFonts w:ascii="Arial" w:hAnsi="Arial" w:cs="Arial"/>
          <w:szCs w:val="20"/>
        </w:rPr>
      </w:pPr>
      <w:r>
        <w:rPr>
          <w:rFonts w:ascii="Arial" w:hAnsi="Arial" w:cs="Arial"/>
          <w:szCs w:val="20"/>
        </w:rPr>
        <w:t>Quando o licitante não conseguir comprovar que possui ou possuirá recursos suficientes para executar a contento o objeto, será considerada inexequível a proposta de preços ou menor lance que:</w:t>
      </w:r>
    </w:p>
    <w:p>
      <w:pPr>
        <w:pStyle w:val="46"/>
        <w:keepNext w:val="0"/>
        <w:widowControl/>
        <w:numPr>
          <w:ilvl w:val="2"/>
          <w:numId w:val="17"/>
        </w:numPr>
        <w:shd w:val="clear" w:color="auto" w:fill="auto"/>
        <w:spacing w:before="120" w:after="120"/>
        <w:textAlignment w:val="auto"/>
        <w:rPr>
          <w:rFonts w:ascii="Arial" w:hAnsi="Arial" w:cs="Arial"/>
          <w:szCs w:val="20"/>
        </w:rPr>
      </w:pPr>
      <w:r>
        <w:rPr>
          <w:rFonts w:ascii="Arial" w:hAnsi="Arial" w:cs="Arial"/>
          <w:szCs w:val="20"/>
        </w:rPr>
        <w:t xml:space="preserve">for insuficiente para a cobertura dos custos da contratação, apresente preços unitários simbólicos, irrisórios ou de valor zero, incompatíveis com </w:t>
      </w:r>
      <w:r>
        <w:rPr>
          <w:rFonts w:ascii="Arial" w:hAnsi="Arial" w:cs="Arial"/>
          <w:color w:val="000000"/>
          <w:szCs w:val="20"/>
        </w:rPr>
        <w:t>os</w:t>
      </w:r>
      <w:r>
        <w:rPr>
          <w:rFonts w:ascii="Arial" w:hAnsi="Arial" w:cs="Arial"/>
          <w:szCs w:val="20"/>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46"/>
        <w:keepNext w:val="0"/>
        <w:widowControl/>
        <w:numPr>
          <w:ilvl w:val="2"/>
          <w:numId w:val="17"/>
        </w:numPr>
        <w:shd w:val="clear" w:color="auto" w:fill="auto"/>
        <w:spacing w:before="120" w:after="120"/>
        <w:textAlignment w:val="auto"/>
        <w:rPr>
          <w:rFonts w:ascii="Arial" w:hAnsi="Arial" w:cs="Arial"/>
          <w:szCs w:val="20"/>
        </w:rPr>
      </w:pPr>
      <w:r>
        <w:rPr>
          <w:rFonts w:ascii="Arial" w:hAnsi="Arial" w:cs="Arial"/>
          <w:szCs w:val="20"/>
        </w:rPr>
        <w:t>apresentar um ou mais valores da planilha de custo que sejam inferiores àqueles fixados em instrumentos de caráter normativo obrigatório, tais como leis, medidas provisórias e convenções coletivas de trabalho vigentes</w:t>
      </w:r>
    </w:p>
    <w:p>
      <w:pPr>
        <w:pStyle w:val="46"/>
        <w:keepNext w:val="0"/>
        <w:widowControl/>
        <w:numPr>
          <w:ilvl w:val="2"/>
          <w:numId w:val="17"/>
        </w:numPr>
        <w:shd w:val="clear" w:color="auto" w:fill="auto"/>
        <w:spacing w:before="120" w:after="120"/>
        <w:textAlignment w:val="auto"/>
        <w:rPr>
          <w:rFonts w:ascii="Arial" w:hAnsi="Arial" w:cs="Arial"/>
          <w:szCs w:val="20"/>
        </w:rPr>
      </w:pPr>
      <w:r>
        <w:rPr>
          <w:rFonts w:ascii="Arial" w:hAnsi="Arial" w:cs="Arial"/>
          <w:szCs w:val="20"/>
        </w:rPr>
        <w:t>O exame da inexequibilidade observará a fórmula prevista no art. 48, §§ 1º e 2º da Lei nº 8.666, de 1993.</w:t>
      </w:r>
    </w:p>
    <w:p>
      <w:pPr>
        <w:pStyle w:val="46"/>
        <w:keepNext w:val="0"/>
        <w:widowControl/>
        <w:numPr>
          <w:ilvl w:val="2"/>
          <w:numId w:val="17"/>
        </w:numPr>
        <w:shd w:val="clear" w:color="auto" w:fill="auto"/>
        <w:spacing w:before="120" w:after="120"/>
        <w:textAlignment w:val="auto"/>
        <w:rPr>
          <w:rFonts w:ascii="Arial" w:hAnsi="Arial" w:cs="Arial"/>
          <w:szCs w:val="20"/>
        </w:rPr>
      </w:pPr>
      <w:r>
        <w:rPr>
          <w:rFonts w:ascii="Arial" w:hAnsi="Arial" w:cs="Arial"/>
          <w:color w:val="000000"/>
          <w:szCs w:val="20"/>
        </w:rPr>
        <w:t>Se houver indícios de inexequibilidade da proposta de preço, ou em caso da necessidade de esclarecimentos complementares, poderão ser efetuadas diligências, na forma do § 3° do artigo 43 da Lei n° 8.666, de 1993, a exemplo das enumeradas no subitem 9.4 do Anexo VII-A da IN SEGES/MP nº 5, de 2017</w:t>
      </w:r>
      <w:r>
        <w:rPr>
          <w:rFonts w:ascii="Arial" w:hAnsi="Arial" w:eastAsia="Times New Roman" w:cs="Arial"/>
          <w:color w:val="000000"/>
          <w:szCs w:val="20"/>
        </w:rPr>
        <w:t xml:space="preserve">, </w:t>
      </w:r>
      <w:r>
        <w:rPr>
          <w:rFonts w:ascii="Arial" w:hAnsi="Arial" w:cs="Arial"/>
          <w:szCs w:val="20"/>
        </w:rPr>
        <w:t>para que a empresa comprove a exequibilidade da proposta</w:t>
      </w:r>
      <w:r>
        <w:rPr>
          <w:rFonts w:ascii="Arial" w:hAnsi="Arial" w:eastAsia="Arial" w:cs="Arial"/>
          <w:color w:val="000000"/>
          <w:szCs w:val="20"/>
        </w:rPr>
        <w:t>.</w:t>
      </w:r>
    </w:p>
    <w:p>
      <w:pPr>
        <w:pStyle w:val="46"/>
        <w:keepNext w:val="0"/>
        <w:widowControl/>
        <w:numPr>
          <w:ilvl w:val="2"/>
          <w:numId w:val="17"/>
        </w:numPr>
        <w:shd w:val="clear" w:color="auto" w:fill="auto"/>
        <w:spacing w:before="120" w:after="120"/>
        <w:textAlignment w:val="auto"/>
        <w:rPr>
          <w:rFonts w:ascii="Arial" w:hAnsi="Arial" w:cs="Arial"/>
          <w:szCs w:val="20"/>
        </w:rPr>
      </w:pPr>
      <w:r>
        <w:rPr>
          <w:rFonts w:ascii="Arial" w:hAnsi="Arial" w:cs="Arial"/>
          <w:color w:val="00000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pPr>
        <w:pStyle w:val="46"/>
        <w:keepNext w:val="0"/>
        <w:widowControl/>
        <w:numPr>
          <w:ilvl w:val="2"/>
          <w:numId w:val="17"/>
        </w:numPr>
        <w:shd w:val="clear" w:color="auto" w:fill="auto"/>
        <w:spacing w:before="120" w:after="120"/>
        <w:textAlignment w:val="auto"/>
        <w:rPr>
          <w:rFonts w:ascii="Arial" w:hAnsi="Arial" w:cs="Arial"/>
          <w:szCs w:val="20"/>
        </w:rPr>
      </w:pPr>
      <w:r>
        <w:rPr>
          <w:rFonts w:ascii="Arial" w:hAnsi="Arial" w:cs="Arial"/>
          <w:color w:val="000000"/>
          <w:szCs w:val="20"/>
        </w:rPr>
        <w:t>Qualquer interessado poderá requerer que se realizem diligências para aferir a exequibilidade e a legalidade das propostas, devendo apresentar as provas ou os indícios que fundamentam a suspeita.</w:t>
      </w:r>
    </w:p>
    <w:p>
      <w:pPr>
        <w:pStyle w:val="30"/>
        <w:numPr>
          <w:ilvl w:val="2"/>
          <w:numId w:val="17"/>
        </w:numPr>
        <w:spacing w:before="120" w:after="120" w:line="276" w:lineRule="auto"/>
        <w:jc w:val="both"/>
        <w:rPr>
          <w:rFonts w:ascii="Arial" w:hAnsi="Arial" w:cs="Arial"/>
          <w:sz w:val="20"/>
        </w:rPr>
      </w:pPr>
      <w:r>
        <w:rPr>
          <w:rFonts w:ascii="Arial" w:hAnsi="Arial" w:cs="Arial"/>
          <w:sz w:val="20"/>
        </w:rPr>
        <w:t xml:space="preserve">Será facultado ao licitante o prazo de </w:t>
      </w:r>
      <w:r>
        <w:rPr>
          <w:rFonts w:hint="default" w:ascii="Arial" w:hAnsi="Arial" w:cs="Arial"/>
          <w:b/>
          <w:bCs/>
          <w:sz w:val="20"/>
          <w:lang w:val="pt-BR"/>
        </w:rPr>
        <w:t>48</w:t>
      </w:r>
      <w:r>
        <w:rPr>
          <w:rFonts w:ascii="Arial" w:hAnsi="Arial" w:cs="Arial"/>
          <w:b/>
          <w:bCs/>
          <w:color w:val="FF0000"/>
          <w:sz w:val="20"/>
        </w:rPr>
        <w:t xml:space="preserve"> </w:t>
      </w:r>
      <w:r>
        <w:rPr>
          <w:rFonts w:hint="default" w:ascii="Arial" w:hAnsi="Arial" w:cs="Arial"/>
          <w:b/>
          <w:bCs/>
          <w:color w:val="auto"/>
          <w:sz w:val="20"/>
          <w:lang w:val="pt-BR"/>
        </w:rPr>
        <w:t>(Quarenta e Oito</w:t>
      </w:r>
      <w:r>
        <w:rPr>
          <w:rFonts w:ascii="Arial" w:hAnsi="Arial" w:cs="Arial"/>
          <w:b/>
          <w:bCs/>
          <w:color w:val="auto"/>
          <w:sz w:val="20"/>
        </w:rPr>
        <w:t>)</w:t>
      </w:r>
      <w:r>
        <w:rPr>
          <w:rFonts w:ascii="Arial" w:hAnsi="Arial" w:cs="Arial"/>
          <w:color w:val="auto"/>
          <w:sz w:val="20"/>
        </w:rPr>
        <w:t xml:space="preserve"> horas</w:t>
      </w:r>
      <w:r>
        <w:rPr>
          <w:rFonts w:ascii="Arial" w:hAnsi="Arial" w:cs="Arial"/>
          <w:sz w:val="20"/>
        </w:rPr>
        <w:t xml:space="preserve"> para comprovar a viabilidade dos preços constantes em sua proposta, conforme parâmetros do artigo 48, inciso II, da Lei n° 8.666, de 1993, sob pena de desclassificação.</w:t>
      </w:r>
    </w:p>
    <w:p>
      <w:pPr>
        <w:pStyle w:val="6"/>
        <w:numPr>
          <w:ilvl w:val="1"/>
          <w:numId w:val="17"/>
        </w:numPr>
        <w:spacing w:before="120" w:line="276" w:lineRule="auto"/>
        <w:jc w:val="both"/>
        <w:rPr>
          <w:rFonts w:ascii="Arial" w:hAnsi="Arial" w:cs="Arial"/>
          <w:sz w:val="20"/>
        </w:rPr>
      </w:pPr>
      <w:r>
        <w:rPr>
          <w:rFonts w:ascii="Arial" w:hAnsi="Arial" w:cs="Arial"/>
          <w:sz w:val="20"/>
        </w:rPr>
        <w:t>Erros formais no preenchimento da planilha não são motivo suficiente para a desclassificação da proposta, quando a planilha puder ser ajustada sem a necessidade de majoração do preço ofertado, atendidas as demais condições de aceitabilidade.</w:t>
      </w:r>
    </w:p>
    <w:p>
      <w:pPr>
        <w:pStyle w:val="6"/>
        <w:numPr>
          <w:ilvl w:val="1"/>
          <w:numId w:val="17"/>
        </w:numPr>
        <w:spacing w:before="120" w:line="276" w:lineRule="auto"/>
        <w:jc w:val="both"/>
        <w:rPr>
          <w:rFonts w:ascii="Arial" w:hAnsi="Arial" w:cs="Arial"/>
          <w:sz w:val="20"/>
        </w:rPr>
      </w:pPr>
      <w:r>
        <w:rPr>
          <w:rFonts w:ascii="Arial" w:hAnsi="Arial" w:cs="Arial"/>
          <w:sz w:val="20"/>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pPr>
        <w:pStyle w:val="6"/>
        <w:numPr>
          <w:ilvl w:val="1"/>
          <w:numId w:val="17"/>
        </w:numPr>
        <w:spacing w:before="120" w:line="276" w:lineRule="auto"/>
        <w:jc w:val="both"/>
        <w:rPr>
          <w:rFonts w:ascii="Arial" w:hAnsi="Arial" w:cs="Arial"/>
          <w:sz w:val="20"/>
        </w:rPr>
      </w:pPr>
      <w:r>
        <w:rPr>
          <w:rFonts w:ascii="Arial" w:hAnsi="Arial" w:cs="Arial"/>
          <w:sz w:val="20"/>
        </w:rPr>
        <w:t>Se a proposta de preço não for aceitável, a Comissão de Licitação examinará a proposta subsequente, e, assim sucessivamente, na ordem de classificação.</w:t>
      </w:r>
    </w:p>
    <w:p>
      <w:pPr>
        <w:pStyle w:val="6"/>
        <w:numPr>
          <w:ilvl w:val="1"/>
          <w:numId w:val="17"/>
        </w:numPr>
        <w:spacing w:before="120" w:line="276" w:lineRule="auto"/>
        <w:jc w:val="both"/>
        <w:rPr>
          <w:rFonts w:ascii="Arial" w:hAnsi="Arial" w:cs="Arial"/>
          <w:sz w:val="20"/>
        </w:rPr>
      </w:pPr>
      <w:r>
        <w:rPr>
          <w:rFonts w:ascii="Arial" w:hAnsi="Arial" w:cs="Arial"/>
          <w:sz w:val="20"/>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pPr>
        <w:pStyle w:val="6"/>
        <w:numPr>
          <w:ilvl w:val="1"/>
          <w:numId w:val="17"/>
        </w:numPr>
        <w:spacing w:before="120" w:line="276" w:lineRule="auto"/>
        <w:jc w:val="both"/>
        <w:rPr>
          <w:rFonts w:ascii="Arial" w:hAnsi="Arial" w:cs="Arial"/>
          <w:sz w:val="20"/>
        </w:rPr>
      </w:pPr>
      <w:r>
        <w:rPr>
          <w:rFonts w:ascii="Arial" w:hAnsi="Arial" w:cs="Arial"/>
          <w:sz w:val="20"/>
        </w:rPr>
        <w:t>Do julgamento das propostas e da classificação, será dada ciência aos licitantes para apresentação de recurso no prazo de 5 (cinco) dias úteis. Interposto o recurso, será comunicado aos demais licitantes, que poderão impugná-lo no mesmo prazo.</w:t>
      </w:r>
    </w:p>
    <w:p>
      <w:pPr>
        <w:pStyle w:val="6"/>
        <w:numPr>
          <w:ilvl w:val="1"/>
          <w:numId w:val="17"/>
        </w:numPr>
        <w:spacing w:before="120" w:line="276" w:lineRule="auto"/>
        <w:jc w:val="both"/>
        <w:rPr>
          <w:rFonts w:ascii="Arial" w:hAnsi="Arial" w:cs="Arial"/>
          <w:sz w:val="20"/>
        </w:rPr>
      </w:pPr>
      <w:r>
        <w:rPr>
          <w:rFonts w:ascii="Arial" w:hAnsi="Arial" w:cs="Arial"/>
          <w:sz w:val="20"/>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pPr>
        <w:pStyle w:val="6"/>
        <w:numPr>
          <w:ilvl w:val="1"/>
          <w:numId w:val="17"/>
        </w:numPr>
        <w:spacing w:before="120" w:line="276" w:lineRule="auto"/>
        <w:jc w:val="both"/>
        <w:rPr>
          <w:rFonts w:ascii="Arial" w:hAnsi="Arial" w:cs="Arial"/>
          <w:sz w:val="20"/>
        </w:rPr>
      </w:pPr>
      <w:r>
        <w:rPr>
          <w:rFonts w:ascii="Arial" w:hAnsi="Arial" w:cs="Arial"/>
          <w:sz w:val="20"/>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pPr>
        <w:pStyle w:val="6"/>
        <w:numPr>
          <w:ilvl w:val="1"/>
          <w:numId w:val="17"/>
        </w:numPr>
        <w:spacing w:before="120" w:line="276" w:lineRule="auto"/>
        <w:jc w:val="both"/>
        <w:rPr>
          <w:rFonts w:ascii="Arial" w:hAnsi="Arial" w:cs="Arial"/>
          <w:b/>
          <w:bCs/>
          <w:strike w:val="0"/>
          <w:dstrike w:val="0"/>
          <w:color w:val="auto"/>
          <w:sz w:val="20"/>
          <w:u w:val="single"/>
        </w:rPr>
      </w:pPr>
      <w:r>
        <w:rPr>
          <w:rFonts w:ascii="Arial" w:hAnsi="Arial" w:cs="Arial"/>
          <w:b/>
          <w:bCs/>
          <w:strike w:val="0"/>
          <w:dstrike w:val="0"/>
          <w:color w:val="auto"/>
          <w:sz w:val="20"/>
          <w:u w:val="single"/>
        </w:rPr>
        <w:t xml:space="preserve">O resultado do certame será divulgado no </w:t>
      </w:r>
      <w:r>
        <w:rPr>
          <w:rFonts w:hint="default" w:ascii="Arial" w:hAnsi="Arial" w:cs="Arial"/>
          <w:b/>
          <w:bCs/>
          <w:strike w:val="0"/>
          <w:dstrike w:val="0"/>
          <w:color w:val="auto"/>
          <w:sz w:val="20"/>
          <w:u w:val="single"/>
          <w:lang w:val="pt-BR"/>
        </w:rPr>
        <w:t>site do IFMT Campus Confresa.</w:t>
      </w:r>
    </w:p>
    <w:p>
      <w:pPr>
        <w:shd w:val="clear" w:color="auto" w:fill="FFFFFF"/>
        <w:spacing w:after="120" w:line="276" w:lineRule="auto"/>
        <w:jc w:val="both"/>
        <w:rPr>
          <w:rFonts w:ascii="Arial" w:hAnsi="Arial" w:cs="Arial"/>
          <w:sz w:val="20"/>
        </w:rPr>
      </w:pPr>
    </w:p>
    <w:p>
      <w:pPr>
        <w:widowControl/>
        <w:numPr>
          <w:ilvl w:val="0"/>
          <w:numId w:val="18"/>
        </w:numPr>
        <w:suppressAutoHyphens w:val="0"/>
        <w:spacing w:before="120" w:after="120" w:line="276" w:lineRule="auto"/>
        <w:jc w:val="both"/>
        <w:rPr>
          <w:rFonts w:ascii="Arial" w:hAnsi="Arial" w:cs="Arial"/>
          <w:b/>
          <w:sz w:val="20"/>
        </w:rPr>
      </w:pPr>
      <w:r>
        <w:rPr>
          <w:rFonts w:ascii="Arial" w:hAnsi="Arial" w:cs="Arial"/>
          <w:b/>
          <w:sz w:val="20"/>
        </w:rPr>
        <w:t>DOS RECURSOS ADMINISTRATIVOS</w:t>
      </w:r>
    </w:p>
    <w:p>
      <w:pPr>
        <w:pStyle w:val="30"/>
        <w:widowControl/>
        <w:numPr>
          <w:ilvl w:val="1"/>
          <w:numId w:val="19"/>
        </w:numPr>
        <w:suppressAutoHyphens w:val="0"/>
        <w:spacing w:before="120" w:after="120" w:line="276" w:lineRule="auto"/>
        <w:ind w:left="425" w:firstLine="0"/>
        <w:jc w:val="both"/>
        <w:rPr>
          <w:rFonts w:ascii="Arial" w:hAnsi="Arial" w:cs="Arial"/>
          <w:sz w:val="20"/>
        </w:rPr>
      </w:pPr>
      <w:r>
        <w:rPr>
          <w:rFonts w:ascii="Arial" w:hAnsi="Arial" w:cs="Arial"/>
          <w:sz w:val="20"/>
        </w:rPr>
        <w:t>A interposição de recurso referente à habilitação ou inabilitação de licitantes e julgamento das propostas observará o disposto no art. 109, § 4º, da Lei 8.666, de 1993.</w:t>
      </w:r>
    </w:p>
    <w:p>
      <w:pPr>
        <w:widowControl/>
        <w:numPr>
          <w:ilvl w:val="1"/>
          <w:numId w:val="19"/>
        </w:numPr>
        <w:suppressAutoHyphens w:val="0"/>
        <w:spacing w:before="120" w:after="120" w:line="276" w:lineRule="auto"/>
        <w:ind w:left="425" w:firstLine="0"/>
        <w:jc w:val="both"/>
        <w:rPr>
          <w:rFonts w:ascii="Arial" w:hAnsi="Arial" w:cs="Arial"/>
          <w:sz w:val="20"/>
        </w:rPr>
      </w:pPr>
      <w:r>
        <w:rPr>
          <w:rFonts w:ascii="Arial" w:hAnsi="Arial" w:cs="Arial"/>
          <w:sz w:val="20"/>
        </w:rPr>
        <w:t>Após cada fase da licitação, os autos do processo ficarão com vista franqueada aos interessados, pelo prazo necessário à interposição de recursos.</w:t>
      </w:r>
    </w:p>
    <w:p>
      <w:pPr>
        <w:widowControl/>
        <w:numPr>
          <w:ilvl w:val="1"/>
          <w:numId w:val="19"/>
        </w:numPr>
        <w:suppressAutoHyphens w:val="0"/>
        <w:spacing w:before="120" w:after="120" w:line="276" w:lineRule="auto"/>
        <w:ind w:left="425" w:firstLine="0"/>
        <w:jc w:val="both"/>
        <w:rPr>
          <w:rFonts w:ascii="Arial" w:hAnsi="Arial" w:cs="Arial"/>
          <w:sz w:val="20"/>
        </w:rPr>
      </w:pPr>
      <w:r>
        <w:rPr>
          <w:rFonts w:ascii="Arial" w:hAnsi="Arial" w:cs="Arial"/>
          <w:sz w:val="20"/>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pPr>
        <w:widowControl/>
        <w:numPr>
          <w:ilvl w:val="1"/>
          <w:numId w:val="19"/>
        </w:numPr>
        <w:suppressAutoHyphens w:val="0"/>
        <w:spacing w:before="120" w:after="120" w:line="276" w:lineRule="auto"/>
        <w:ind w:left="425" w:firstLine="0"/>
        <w:jc w:val="both"/>
        <w:rPr>
          <w:rFonts w:ascii="Arial" w:hAnsi="Arial" w:cs="Arial"/>
          <w:sz w:val="20"/>
        </w:rPr>
      </w:pPr>
      <w:r>
        <w:rPr>
          <w:rFonts w:ascii="Arial" w:hAnsi="Arial" w:cs="Arial"/>
          <w:sz w:val="20"/>
        </w:rPr>
        <w:t xml:space="preserve">Os recursos deverão ser encaminhados para o(a) </w:t>
      </w:r>
      <w:r>
        <w:rPr>
          <w:rFonts w:hint="default" w:ascii="Arial" w:hAnsi="Arial" w:cs="Arial"/>
          <w:sz w:val="20"/>
          <w:lang w:val="pt-BR"/>
        </w:rPr>
        <w:t xml:space="preserve">gabine do IFMT Campus Confresa </w:t>
      </w:r>
      <w:r>
        <w:rPr>
          <w:rFonts w:ascii="Arial" w:hAnsi="Arial" w:cs="Arial"/>
          <w:color w:val="FF0000"/>
          <w:sz w:val="20"/>
        </w:rPr>
        <w:t xml:space="preserve"> </w:t>
      </w:r>
      <w:r>
        <w:rPr>
          <w:rFonts w:ascii="Arial" w:hAnsi="Arial" w:cs="Arial"/>
          <w:sz w:val="20"/>
        </w:rPr>
        <w:t xml:space="preserve"> instalada no endereço </w:t>
      </w:r>
      <w:r>
        <w:rPr>
          <w:rFonts w:hint="default" w:ascii="Arial" w:hAnsi="Arial" w:cs="Arial"/>
          <w:sz w:val="20"/>
          <w:lang w:val="pt-BR"/>
        </w:rPr>
        <w:t>Av. Vilmar Fernandes, nº 300, Setor Santa Luzia, CEP 78652-000, Confresa-MT ou no email</w:t>
      </w:r>
      <w:r>
        <w:rPr>
          <w:rFonts w:hint="default" w:ascii="Arial" w:hAnsi="Arial" w:cs="Arial"/>
          <w:b/>
          <w:bCs/>
          <w:color w:val="auto"/>
          <w:sz w:val="20"/>
          <w:lang w:val="pt-BR"/>
        </w:rPr>
        <w:t xml:space="preserve"> cpl@cfs.ifmt.edu.br</w:t>
      </w:r>
      <w:r>
        <w:rPr>
          <w:rFonts w:ascii="Arial" w:hAnsi="Arial" w:cs="Arial"/>
          <w:b/>
          <w:bCs/>
          <w:color w:val="auto"/>
          <w:sz w:val="20"/>
        </w:rPr>
        <w:t>.</w:t>
      </w:r>
    </w:p>
    <w:p>
      <w:pPr>
        <w:widowControl/>
        <w:numPr>
          <w:ilvl w:val="1"/>
          <w:numId w:val="19"/>
        </w:numPr>
        <w:suppressAutoHyphens w:val="0"/>
        <w:spacing w:before="120" w:after="120" w:line="276" w:lineRule="auto"/>
        <w:ind w:left="425" w:firstLine="0"/>
        <w:jc w:val="both"/>
        <w:rPr>
          <w:rFonts w:ascii="Arial" w:hAnsi="Arial" w:cs="Arial"/>
          <w:sz w:val="20"/>
        </w:rPr>
      </w:pPr>
      <w:r>
        <w:rPr>
          <w:rFonts w:ascii="Arial" w:hAnsi="Arial" w:cs="Arial"/>
          <w:sz w:val="20"/>
        </w:rPr>
        <w:t xml:space="preserve">O recurso será dirigido </w:t>
      </w:r>
      <w:r>
        <w:rPr>
          <w:rFonts w:hint="default" w:ascii="Arial" w:hAnsi="Arial" w:cs="Arial"/>
          <w:sz w:val="20"/>
          <w:lang w:val="pt-BR"/>
        </w:rPr>
        <w:t xml:space="preserve">ao </w:t>
      </w:r>
      <w:r>
        <w:rPr>
          <w:rFonts w:hint="default" w:ascii="Arial" w:hAnsi="Arial" w:cs="Arial"/>
          <w:b/>
          <w:bCs/>
          <w:sz w:val="20"/>
          <w:u w:val="single"/>
          <w:lang w:val="pt-BR"/>
        </w:rPr>
        <w:t>Sr. Giliard de Brito de Freitas, Diretor Geral do IFMT Campus Confresa</w:t>
      </w:r>
      <w:r>
        <w:rPr>
          <w:rFonts w:ascii="Arial" w:hAnsi="Arial" w:cs="Arial"/>
          <w:sz w:val="20"/>
        </w:rPr>
        <w:t>,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pPr>
        <w:widowControl/>
        <w:numPr>
          <w:ilvl w:val="1"/>
          <w:numId w:val="19"/>
        </w:numPr>
        <w:suppressAutoHyphens w:val="0"/>
        <w:spacing w:before="120" w:after="120" w:line="276" w:lineRule="auto"/>
        <w:ind w:left="425" w:firstLine="0"/>
        <w:jc w:val="both"/>
        <w:rPr>
          <w:rFonts w:ascii="Arial" w:hAnsi="Arial" w:cs="Arial"/>
          <w:sz w:val="20"/>
        </w:rPr>
      </w:pPr>
      <w:r>
        <w:rPr>
          <w:rFonts w:ascii="Arial" w:hAnsi="Arial" w:cs="Arial"/>
          <w:sz w:val="20"/>
        </w:rPr>
        <w:t>Os recursos interpostos fora do prazo não serão conhecidos.</w:t>
      </w:r>
    </w:p>
    <w:p>
      <w:pPr>
        <w:pStyle w:val="53"/>
        <w:numPr>
          <w:ilvl w:val="0"/>
          <w:numId w:val="20"/>
        </w:numPr>
        <w:tabs>
          <w:tab w:val="clear" w:pos="567"/>
        </w:tabs>
        <w:spacing w:before="480" w:after="120" w:line="276" w:lineRule="auto"/>
        <w:ind w:right="-15"/>
        <w:rPr>
          <w:rFonts w:ascii="Arial" w:hAnsi="Arial" w:cs="Arial"/>
        </w:rPr>
      </w:pPr>
      <w:r>
        <w:rPr>
          <w:rFonts w:ascii="Arial" w:hAnsi="Arial" w:cs="Arial"/>
        </w:rPr>
        <w:t>DA GARANTIA DE EXECUÇÃO</w:t>
      </w:r>
    </w:p>
    <w:p>
      <w:pPr>
        <w:rPr>
          <w:rFonts w:ascii="Arial" w:hAnsi="Arial" w:cs="Arial"/>
          <w:color w:val="FF0000"/>
          <w:sz w:val="20"/>
        </w:rPr>
      </w:pPr>
    </w:p>
    <w:p>
      <w:pPr>
        <w:widowControl/>
        <w:numPr>
          <w:ilvl w:val="1"/>
          <w:numId w:val="20"/>
        </w:numPr>
        <w:suppressAutoHyphens w:val="0"/>
        <w:spacing w:before="120" w:after="120" w:line="276" w:lineRule="auto"/>
        <w:jc w:val="both"/>
        <w:rPr>
          <w:rFonts w:ascii="Arial" w:hAnsi="Arial" w:cs="Arial"/>
          <w:color w:val="auto"/>
          <w:sz w:val="20"/>
        </w:rPr>
      </w:pPr>
      <w:r>
        <w:rPr>
          <w:rFonts w:ascii="Arial" w:hAnsi="Arial" w:cs="Arial"/>
          <w:color w:val="auto"/>
          <w:sz w:val="20"/>
        </w:rPr>
        <w:t>Será exigida a prestação de garantia na presente contratação, conforme regras constantes do Projeto Básico</w:t>
      </w:r>
      <w:r>
        <w:rPr>
          <w:rFonts w:hint="default" w:ascii="Arial" w:hAnsi="Arial" w:cs="Arial"/>
          <w:color w:val="auto"/>
          <w:sz w:val="20"/>
          <w:lang w:val="pt-BR"/>
        </w:rPr>
        <w:t xml:space="preserve"> e Minuta do Contrato</w:t>
      </w:r>
      <w:r>
        <w:rPr>
          <w:rFonts w:ascii="Arial" w:hAnsi="Arial" w:cs="Arial"/>
          <w:color w:val="auto"/>
          <w:sz w:val="20"/>
        </w:rPr>
        <w:t>.</w:t>
      </w:r>
    </w:p>
    <w:p>
      <w:pPr>
        <w:pStyle w:val="6"/>
        <w:spacing w:before="120"/>
        <w:ind w:left="1434"/>
        <w:jc w:val="both"/>
        <w:rPr>
          <w:rFonts w:ascii="Arial" w:hAnsi="Arial" w:cs="Arial"/>
          <w:bCs/>
          <w:iCs/>
          <w:color w:val="000000"/>
          <w:sz w:val="20"/>
        </w:rPr>
      </w:pPr>
    </w:p>
    <w:p>
      <w:pPr>
        <w:pStyle w:val="30"/>
        <w:numPr>
          <w:ilvl w:val="0"/>
          <w:numId w:val="20"/>
        </w:numPr>
        <w:spacing w:after="120" w:line="276" w:lineRule="auto"/>
        <w:jc w:val="both"/>
        <w:rPr>
          <w:rFonts w:ascii="Arial" w:hAnsi="Arial" w:cs="Arial"/>
          <w:b/>
          <w:color w:val="000000"/>
          <w:sz w:val="20"/>
        </w:rPr>
      </w:pPr>
      <w:r>
        <w:rPr>
          <w:rFonts w:ascii="Arial" w:hAnsi="Arial" w:cs="Arial"/>
          <w:b/>
          <w:color w:val="000000"/>
          <w:sz w:val="20"/>
        </w:rPr>
        <w:t>DO TERMO DE CONTRATO</w:t>
      </w:r>
    </w:p>
    <w:p>
      <w:pPr>
        <w:numPr>
          <w:ilvl w:val="1"/>
          <w:numId w:val="20"/>
        </w:numPr>
        <w:spacing w:before="120" w:after="120" w:line="276" w:lineRule="auto"/>
        <w:ind w:left="425" w:firstLine="0"/>
        <w:jc w:val="both"/>
        <w:rPr>
          <w:rFonts w:ascii="Arial" w:hAnsi="Arial" w:cs="Arial"/>
          <w:color w:val="000000"/>
          <w:sz w:val="20"/>
        </w:rPr>
      </w:pPr>
      <w:r>
        <w:rPr>
          <w:rFonts w:ascii="Arial" w:hAnsi="Arial" w:cs="Arial"/>
          <w:color w:val="000000"/>
          <w:sz w:val="20"/>
        </w:rPr>
        <w:t xml:space="preserve">Após a homologação da licitação, em sendo realizada a contratação, será firmado Termo de Contrato. </w:t>
      </w:r>
    </w:p>
    <w:p>
      <w:pPr>
        <w:pStyle w:val="30"/>
        <w:widowControl/>
        <w:numPr>
          <w:ilvl w:val="1"/>
          <w:numId w:val="20"/>
        </w:numPr>
        <w:suppressAutoHyphens w:val="0"/>
        <w:spacing w:before="120" w:after="120" w:line="276" w:lineRule="auto"/>
        <w:ind w:right="-17"/>
        <w:contextualSpacing w:val="0"/>
        <w:jc w:val="both"/>
        <w:rPr>
          <w:rFonts w:ascii="Arial" w:hAnsi="Arial" w:cs="Arial"/>
          <w:iCs/>
          <w:sz w:val="20"/>
        </w:rPr>
      </w:pPr>
      <w:r>
        <w:rPr>
          <w:rFonts w:ascii="Arial" w:hAnsi="Arial" w:cs="Arial"/>
          <w:iCs/>
          <w:sz w:val="20"/>
        </w:rPr>
        <w:t xml:space="preserve">O adjudicatário terá o prazo de </w:t>
      </w:r>
      <w:r>
        <w:rPr>
          <w:rFonts w:hint="default" w:ascii="Arial" w:hAnsi="Arial" w:cs="Arial"/>
          <w:iCs/>
          <w:sz w:val="20"/>
          <w:lang w:val="pt-BR"/>
        </w:rPr>
        <w:t xml:space="preserve">05 </w:t>
      </w:r>
      <w:r>
        <w:rPr>
          <w:rFonts w:ascii="Arial" w:hAnsi="Arial" w:cs="Arial"/>
          <w:iCs/>
          <w:sz w:val="20"/>
        </w:rPr>
        <w:t>(</w:t>
      </w:r>
      <w:r>
        <w:rPr>
          <w:rFonts w:hint="default" w:ascii="Arial" w:hAnsi="Arial" w:cs="Arial"/>
          <w:iCs/>
          <w:sz w:val="20"/>
          <w:lang w:val="pt-BR"/>
        </w:rPr>
        <w:t>cinco</w:t>
      </w:r>
      <w:r>
        <w:rPr>
          <w:rFonts w:ascii="Arial" w:hAnsi="Arial" w:cs="Arial"/>
          <w:iCs/>
          <w:sz w:val="20"/>
        </w:rPr>
        <w:t xml:space="preserve">) dias úteis, contados a partir da data de sua convocação, para assinar o Termo de Contrato, sob pena de decair do direito à contratação, sem prejuízo das sanções previstas neste Edital. </w:t>
      </w:r>
    </w:p>
    <w:p>
      <w:pPr>
        <w:pStyle w:val="30"/>
        <w:widowControl/>
        <w:numPr>
          <w:ilvl w:val="2"/>
          <w:numId w:val="20"/>
        </w:numPr>
        <w:suppressAutoHyphens w:val="0"/>
        <w:spacing w:before="120" w:after="120" w:line="276" w:lineRule="auto"/>
        <w:ind w:right="-17"/>
        <w:contextualSpacing w:val="0"/>
        <w:jc w:val="both"/>
        <w:rPr>
          <w:rFonts w:ascii="Arial" w:hAnsi="Arial" w:cs="Arial"/>
          <w:iCs/>
          <w:sz w:val="20"/>
        </w:rPr>
      </w:pPr>
      <w:r>
        <w:rPr>
          <w:rFonts w:ascii="Arial" w:hAnsi="Arial" w:cs="Arial"/>
          <w:iCs/>
          <w:sz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no prazo de </w:t>
      </w:r>
      <w:r>
        <w:rPr>
          <w:rFonts w:hint="default" w:ascii="Arial" w:hAnsi="Arial" w:cs="Arial"/>
          <w:iCs/>
          <w:sz w:val="20"/>
          <w:lang w:val="pt-BR"/>
        </w:rPr>
        <w:t>05</w:t>
      </w:r>
      <w:r>
        <w:rPr>
          <w:rFonts w:ascii="Arial" w:hAnsi="Arial" w:cs="Arial"/>
          <w:iCs/>
          <w:sz w:val="20"/>
        </w:rPr>
        <w:t xml:space="preserve"> (</w:t>
      </w:r>
      <w:r>
        <w:rPr>
          <w:rFonts w:hint="default" w:ascii="Arial" w:hAnsi="Arial" w:cs="Arial"/>
          <w:iCs/>
          <w:sz w:val="20"/>
          <w:lang w:val="pt-BR"/>
        </w:rPr>
        <w:t>cinco</w:t>
      </w:r>
      <w:r>
        <w:rPr>
          <w:rFonts w:ascii="Arial" w:hAnsi="Arial" w:cs="Arial"/>
          <w:iCs/>
          <w:sz w:val="20"/>
        </w:rPr>
        <w:t xml:space="preserve">) dias, a contar da data de seu recebimento. </w:t>
      </w:r>
    </w:p>
    <w:p>
      <w:pPr>
        <w:pStyle w:val="30"/>
        <w:widowControl/>
        <w:numPr>
          <w:ilvl w:val="2"/>
          <w:numId w:val="20"/>
        </w:numPr>
        <w:suppressAutoHyphens w:val="0"/>
        <w:spacing w:before="120" w:after="120" w:line="276" w:lineRule="auto"/>
        <w:ind w:right="-17"/>
        <w:contextualSpacing w:val="0"/>
        <w:jc w:val="both"/>
        <w:rPr>
          <w:rFonts w:ascii="Arial" w:hAnsi="Arial" w:cs="Arial"/>
          <w:iCs/>
          <w:sz w:val="20"/>
        </w:rPr>
      </w:pPr>
      <w:r>
        <w:rPr>
          <w:rFonts w:ascii="Arial" w:hAnsi="Arial" w:cs="Arial"/>
          <w:iCs/>
          <w:sz w:val="20"/>
        </w:rPr>
        <w:t>O prazo previsto no subitem anterior poderá ser prorrogado, por igual período, por solicitação justificada do adjudicatário e aceita pela Administração.</w:t>
      </w:r>
    </w:p>
    <w:p>
      <w:pPr>
        <w:pStyle w:val="6"/>
        <w:spacing w:before="120" w:line="276" w:lineRule="auto"/>
        <w:ind w:left="425"/>
        <w:jc w:val="both"/>
        <w:rPr>
          <w:rFonts w:ascii="Arial" w:hAnsi="Arial" w:cs="Arial"/>
          <w:sz w:val="20"/>
        </w:rPr>
      </w:pPr>
    </w:p>
    <w:p>
      <w:pPr>
        <w:pStyle w:val="30"/>
        <w:widowControl/>
        <w:numPr>
          <w:ilvl w:val="1"/>
          <w:numId w:val="20"/>
        </w:numPr>
        <w:suppressAutoHyphens w:val="0"/>
        <w:spacing w:before="120" w:after="120" w:line="276" w:lineRule="auto"/>
        <w:ind w:right="-17"/>
        <w:contextualSpacing w:val="0"/>
        <w:jc w:val="both"/>
        <w:rPr>
          <w:rFonts w:ascii="Arial" w:hAnsi="Arial" w:cs="Arial"/>
          <w:sz w:val="20"/>
        </w:rPr>
      </w:pPr>
      <w:r>
        <w:rPr>
          <w:rFonts w:ascii="Arial" w:hAnsi="Arial" w:cs="Arial"/>
          <w:color w:val="000000"/>
          <w:sz w:val="20"/>
        </w:rPr>
        <w:t xml:space="preserve">O prazo de vigência da contratação é de </w:t>
      </w:r>
      <w:r>
        <w:rPr>
          <w:rFonts w:hint="default" w:ascii="Arial" w:hAnsi="Arial" w:cs="Arial"/>
          <w:color w:val="000000"/>
          <w:sz w:val="20"/>
          <w:lang w:val="pt-BR"/>
        </w:rPr>
        <w:t>12 meses</w:t>
      </w:r>
      <w:r>
        <w:rPr>
          <w:rFonts w:ascii="Arial" w:hAnsi="Arial" w:cs="Arial"/>
          <w:color w:val="000000"/>
          <w:sz w:val="20"/>
        </w:rPr>
        <w:t xml:space="preserve"> contados </w:t>
      </w:r>
      <w:r>
        <w:rPr>
          <w:rFonts w:hint="default" w:ascii="Arial" w:hAnsi="Arial" w:cs="Arial"/>
          <w:color w:val="000000"/>
          <w:sz w:val="20"/>
          <w:lang w:val="pt-BR"/>
        </w:rPr>
        <w:t>a partir da emissão da ordem de serviço</w:t>
      </w:r>
      <w:r>
        <w:rPr>
          <w:rFonts w:ascii="Arial" w:hAnsi="Arial" w:cs="Arial"/>
          <w:color w:val="000000"/>
          <w:sz w:val="20"/>
        </w:rPr>
        <w:t xml:space="preserve"> prorrogável na forma dos arts. 57, §1° e 79, §5º, da Lei n° 8.666/9</w:t>
      </w:r>
      <w:r>
        <w:rPr>
          <w:rFonts w:ascii="Arial" w:hAnsi="Arial" w:cs="Arial"/>
          <w:bCs/>
          <w:iCs/>
          <w:sz w:val="20"/>
        </w:rPr>
        <w:t>3.</w:t>
      </w:r>
    </w:p>
    <w:p>
      <w:pPr>
        <w:pStyle w:val="30"/>
        <w:widowControl/>
        <w:numPr>
          <w:ilvl w:val="2"/>
          <w:numId w:val="20"/>
        </w:numPr>
        <w:suppressAutoHyphens w:val="0"/>
        <w:spacing w:before="120" w:after="120" w:line="276" w:lineRule="auto"/>
        <w:ind w:right="-17"/>
        <w:contextualSpacing w:val="0"/>
        <w:jc w:val="both"/>
        <w:rPr>
          <w:rFonts w:ascii="Arial" w:hAnsi="Arial" w:cs="Arial"/>
          <w:sz w:val="20"/>
        </w:rPr>
      </w:pPr>
      <w:r>
        <w:rPr>
          <w:rFonts w:ascii="Arial" w:hAnsi="Arial" w:cs="Arial"/>
          <w:sz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30"/>
        <w:widowControl/>
        <w:numPr>
          <w:ilvl w:val="3"/>
          <w:numId w:val="20"/>
        </w:numPr>
        <w:suppressAutoHyphens w:val="0"/>
        <w:spacing w:before="120" w:after="120" w:line="276" w:lineRule="auto"/>
        <w:ind w:right="-17"/>
        <w:contextualSpacing w:val="0"/>
        <w:jc w:val="both"/>
        <w:rPr>
          <w:rFonts w:ascii="Arial" w:hAnsi="Arial" w:eastAsia="Arial" w:cs="Arial"/>
          <w:color w:val="000000"/>
          <w:sz w:val="20"/>
        </w:rPr>
      </w:pPr>
      <w:r>
        <w:rPr>
          <w:rFonts w:ascii="Arial" w:hAnsi="Arial" w:cs="Arial"/>
          <w:sz w:val="20"/>
        </w:rPr>
        <w:t>Nos</w:t>
      </w:r>
      <w:r>
        <w:rPr>
          <w:rFonts w:ascii="Arial" w:hAnsi="Arial" w:eastAsia="Arial" w:cs="Arial"/>
          <w:color w:val="000000"/>
          <w:sz w:val="20"/>
        </w:rPr>
        <w:t xml:space="preserve"> casos em que houver necessidade de assinatura do instrumento de contrato, e o fornecedor não estiver inscrito no SICAF, este deverá proceder ao seu cadastramento, sem ônus, antes da contratação.</w:t>
      </w:r>
    </w:p>
    <w:p>
      <w:pPr>
        <w:pStyle w:val="30"/>
        <w:numPr>
          <w:ilvl w:val="3"/>
          <w:numId w:val="20"/>
        </w:numPr>
        <w:spacing w:before="120" w:after="120" w:line="276" w:lineRule="auto"/>
        <w:jc w:val="both"/>
        <w:rPr>
          <w:rFonts w:ascii="Arial" w:hAnsi="Arial" w:eastAsia="Arial" w:cs="Arial"/>
          <w:color w:val="000000"/>
          <w:sz w:val="20"/>
        </w:rPr>
      </w:pPr>
      <w:r>
        <w:rPr>
          <w:rFonts w:ascii="Arial" w:hAnsi="Arial" w:cs="Arial"/>
          <w:color w:val="000000"/>
          <w:sz w:val="20"/>
        </w:rPr>
        <w:t xml:space="preserve">Na hipótese de irregularidade do registro no SICAF, o contratado deverá </w:t>
      </w:r>
      <w:r>
        <w:rPr>
          <w:rFonts w:ascii="Arial" w:hAnsi="Arial" w:cs="Arial"/>
          <w:sz w:val="20"/>
        </w:rPr>
        <w:t>regularizar</w:t>
      </w:r>
      <w:r>
        <w:rPr>
          <w:rFonts w:ascii="Arial" w:hAnsi="Arial" w:cs="Arial"/>
          <w:color w:val="000000"/>
          <w:sz w:val="20"/>
        </w:rPr>
        <w:t xml:space="preserve"> a sua situação perante o cadastro no prazo de até 05 (cinco) dias úteis, sob pena de aplicação das penalidades previstas no edital e anexos.</w:t>
      </w:r>
    </w:p>
    <w:p>
      <w:pPr>
        <w:pStyle w:val="30"/>
        <w:widowControl/>
        <w:numPr>
          <w:ilvl w:val="1"/>
          <w:numId w:val="20"/>
        </w:numPr>
        <w:suppressAutoHyphens w:val="0"/>
        <w:spacing w:before="120" w:after="120" w:line="276" w:lineRule="auto"/>
        <w:ind w:right="-17"/>
        <w:contextualSpacing w:val="0"/>
        <w:jc w:val="both"/>
        <w:rPr>
          <w:rFonts w:ascii="Arial" w:hAnsi="Arial" w:eastAsia="Arial" w:cs="Arial"/>
          <w:color w:val="000000"/>
          <w:sz w:val="20"/>
        </w:rPr>
      </w:pPr>
      <w:r>
        <w:rPr>
          <w:rFonts w:ascii="Arial" w:hAnsi="Arial" w:eastAsia="Arial" w:cs="Arial"/>
          <w:color w:val="000000"/>
          <w:sz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6"/>
        <w:spacing w:before="120"/>
        <w:ind w:left="851"/>
        <w:jc w:val="both"/>
        <w:rPr>
          <w:rFonts w:ascii="Arial" w:hAnsi="Arial" w:cs="Arial"/>
          <w:color w:val="000000"/>
          <w:sz w:val="20"/>
        </w:rPr>
      </w:pPr>
    </w:p>
    <w:p>
      <w:pPr>
        <w:widowControl/>
        <w:numPr>
          <w:ilvl w:val="0"/>
          <w:numId w:val="20"/>
        </w:numPr>
        <w:suppressAutoHyphens w:val="0"/>
        <w:spacing w:before="120" w:after="120" w:line="276" w:lineRule="auto"/>
        <w:ind w:left="0" w:firstLine="0"/>
        <w:jc w:val="both"/>
        <w:rPr>
          <w:rFonts w:ascii="Arial" w:hAnsi="Arial" w:cs="Arial"/>
          <w:b/>
          <w:color w:val="000000"/>
          <w:sz w:val="20"/>
        </w:rPr>
      </w:pPr>
      <w:r>
        <w:rPr>
          <w:rFonts w:ascii="Arial" w:hAnsi="Arial" w:cs="Arial"/>
          <w:b/>
          <w:color w:val="000000"/>
          <w:sz w:val="20"/>
        </w:rPr>
        <w:t>DO REAJUSTE</w:t>
      </w:r>
    </w:p>
    <w:p>
      <w:pPr>
        <w:pStyle w:val="36"/>
        <w:numPr>
          <w:ilvl w:val="1"/>
          <w:numId w:val="20"/>
        </w:numPr>
        <w:rPr>
          <w:rFonts w:ascii="Arial" w:hAnsi="Arial" w:cs="Arial"/>
        </w:rPr>
      </w:pPr>
      <w:r>
        <w:rPr>
          <w:rFonts w:ascii="Arial" w:hAnsi="Arial" w:cs="Arial"/>
        </w:rPr>
        <w:t xml:space="preserve">As </w:t>
      </w:r>
      <w:r>
        <w:rPr>
          <w:rFonts w:ascii="Arial" w:hAnsi="Arial" w:cs="Arial"/>
          <w:lang w:eastAsia="en-US"/>
        </w:rPr>
        <w:t>regras</w:t>
      </w:r>
      <w:r>
        <w:rPr>
          <w:rFonts w:ascii="Arial" w:hAnsi="Arial" w:cs="Arial"/>
        </w:rPr>
        <w:t xml:space="preserve"> acerca do reajuste do valor contratual são as estabelecidas no </w:t>
      </w:r>
      <w:r>
        <w:rPr>
          <w:rFonts w:ascii="Arial" w:hAnsi="Arial" w:cs="Arial"/>
          <w:color w:val="000000"/>
        </w:rPr>
        <w:t>estabelecidas no Projeto Básico</w:t>
      </w:r>
      <w:r>
        <w:rPr>
          <w:rFonts w:ascii="Arial" w:hAnsi="Arial" w:cs="Arial"/>
        </w:rPr>
        <w:t>, anexo a este Edital.</w:t>
      </w:r>
    </w:p>
    <w:p>
      <w:pPr>
        <w:spacing w:after="120" w:line="276" w:lineRule="auto"/>
        <w:ind w:left="440"/>
        <w:jc w:val="both"/>
        <w:rPr>
          <w:rFonts w:ascii="Arial" w:hAnsi="Arial" w:cs="Arial"/>
          <w:b/>
          <w:sz w:val="20"/>
        </w:rPr>
      </w:pPr>
    </w:p>
    <w:p>
      <w:pPr>
        <w:numPr>
          <w:ilvl w:val="0"/>
          <w:numId w:val="20"/>
        </w:numPr>
        <w:spacing w:after="120" w:line="276" w:lineRule="auto"/>
        <w:jc w:val="both"/>
        <w:rPr>
          <w:rFonts w:ascii="Arial" w:hAnsi="Arial" w:cs="Arial"/>
          <w:b/>
          <w:sz w:val="20"/>
        </w:rPr>
      </w:pPr>
      <w:r>
        <w:rPr>
          <w:rFonts w:ascii="Arial" w:hAnsi="Arial" w:cs="Arial"/>
          <w:b/>
          <w:sz w:val="20"/>
        </w:rPr>
        <w:t>DA ENTREGA E DO RECEBIMENTO DO OBJETO E DA FISCALIZAÇÃO</w:t>
      </w:r>
    </w:p>
    <w:p>
      <w:pPr>
        <w:numPr>
          <w:ilvl w:val="1"/>
          <w:numId w:val="20"/>
        </w:numPr>
        <w:spacing w:before="120" w:after="120" w:line="276" w:lineRule="auto"/>
        <w:ind w:left="425" w:firstLine="0"/>
        <w:jc w:val="both"/>
        <w:rPr>
          <w:rFonts w:ascii="Arial" w:hAnsi="Arial" w:cs="Arial"/>
          <w:sz w:val="20"/>
          <w:highlight w:val="green"/>
        </w:rPr>
      </w:pPr>
      <w:r>
        <w:rPr>
          <w:rFonts w:ascii="Arial" w:hAnsi="Arial" w:cs="Arial"/>
          <w:sz w:val="20"/>
          <w:lang w:eastAsia="en-US"/>
        </w:rPr>
        <w:t xml:space="preserve">Os critérios de recebimento e aceitação do objeto e de fiscalização estão previstos no Projeto Básico – </w:t>
      </w:r>
      <w:r>
        <w:rPr>
          <w:rFonts w:ascii="Arial" w:hAnsi="Arial" w:cs="Arial"/>
          <w:sz w:val="20"/>
          <w:highlight w:val="none"/>
          <w:lang w:eastAsia="en-US"/>
        </w:rPr>
        <w:t xml:space="preserve">ANEXO </w:t>
      </w:r>
      <w:r>
        <w:rPr>
          <w:rFonts w:hint="default" w:ascii="Arial" w:hAnsi="Arial" w:cs="Arial"/>
          <w:sz w:val="20"/>
          <w:highlight w:val="none"/>
          <w:lang w:val="pt-BR" w:eastAsia="en-US"/>
        </w:rPr>
        <w:t>I e seus anexos.</w:t>
      </w:r>
    </w:p>
    <w:p>
      <w:pPr>
        <w:spacing w:after="120" w:line="276" w:lineRule="auto"/>
        <w:ind w:left="794"/>
        <w:jc w:val="both"/>
        <w:rPr>
          <w:rFonts w:ascii="Arial" w:hAnsi="Arial" w:cs="Arial"/>
          <w:sz w:val="20"/>
        </w:rPr>
      </w:pPr>
    </w:p>
    <w:p>
      <w:pPr>
        <w:numPr>
          <w:ilvl w:val="0"/>
          <w:numId w:val="20"/>
        </w:numPr>
        <w:spacing w:after="120" w:line="276" w:lineRule="auto"/>
        <w:jc w:val="both"/>
        <w:rPr>
          <w:rFonts w:ascii="Arial" w:hAnsi="Arial" w:cs="Arial"/>
          <w:b/>
          <w:sz w:val="20"/>
        </w:rPr>
      </w:pPr>
      <w:r>
        <w:rPr>
          <w:rFonts w:ascii="Arial" w:hAnsi="Arial" w:cs="Arial"/>
          <w:b/>
          <w:sz w:val="20"/>
        </w:rPr>
        <w:t>DAS OBRIGAÇÕES DA CONTRATANTE E DA CONTRATADA</w:t>
      </w:r>
    </w:p>
    <w:p>
      <w:pPr>
        <w:numPr>
          <w:ilvl w:val="1"/>
          <w:numId w:val="20"/>
        </w:numPr>
        <w:spacing w:before="120" w:after="120" w:line="276" w:lineRule="auto"/>
        <w:ind w:left="425" w:firstLine="0"/>
        <w:jc w:val="both"/>
        <w:rPr>
          <w:rFonts w:ascii="Arial" w:hAnsi="Arial" w:cs="Arial"/>
          <w:sz w:val="20"/>
        </w:rPr>
      </w:pPr>
      <w:r>
        <w:rPr>
          <w:rFonts w:ascii="Arial" w:hAnsi="Arial" w:cs="Arial"/>
          <w:sz w:val="20"/>
        </w:rPr>
        <w:t xml:space="preserve">As obrigações da Contratante e da Contratada </w:t>
      </w:r>
      <w:r>
        <w:rPr>
          <w:rFonts w:ascii="Arial" w:hAnsi="Arial" w:cs="Arial"/>
          <w:sz w:val="20"/>
          <w:lang w:eastAsia="en-US"/>
        </w:rPr>
        <w:t xml:space="preserve">são as estabelecidas neste Edital e seus anexos, na proposta apresentada e no Projeto Básico – ANEXOS </w:t>
      </w:r>
      <w:r>
        <w:rPr>
          <w:rFonts w:ascii="Arial" w:hAnsi="Arial" w:cs="Arial"/>
          <w:sz w:val="20"/>
        </w:rPr>
        <w:t xml:space="preserve"> </w:t>
      </w:r>
      <w:r>
        <w:rPr>
          <w:rFonts w:hint="default" w:ascii="Arial" w:hAnsi="Arial" w:cs="Arial"/>
          <w:sz w:val="20"/>
          <w:lang w:val="pt-BR"/>
        </w:rPr>
        <w:t>I e III</w:t>
      </w:r>
    </w:p>
    <w:p>
      <w:pPr>
        <w:widowControl/>
        <w:numPr>
          <w:ilvl w:val="0"/>
          <w:numId w:val="20"/>
        </w:numPr>
        <w:suppressAutoHyphens w:val="0"/>
        <w:spacing w:before="120" w:after="120" w:line="276" w:lineRule="auto"/>
        <w:jc w:val="both"/>
        <w:rPr>
          <w:rFonts w:ascii="Arial" w:hAnsi="Arial" w:cs="Arial"/>
          <w:b/>
          <w:color w:val="000000"/>
          <w:sz w:val="20"/>
        </w:rPr>
      </w:pPr>
      <w:r>
        <w:rPr>
          <w:rFonts w:ascii="Arial" w:hAnsi="Arial" w:cs="Arial"/>
          <w:b/>
          <w:color w:val="000000"/>
          <w:sz w:val="20"/>
        </w:rPr>
        <w:t>DO PAGAMENTO</w:t>
      </w: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0"/>
          <w:numId w:val="21"/>
        </w:numPr>
        <w:shd w:val="clear" w:color="auto" w:fill="FFFFFF"/>
        <w:suppressAutoHyphens w:val="0"/>
        <w:spacing w:before="120" w:after="120" w:line="276" w:lineRule="auto"/>
        <w:contextualSpacing w:val="0"/>
        <w:jc w:val="both"/>
        <w:textAlignment w:val="baseline"/>
        <w:rPr>
          <w:rFonts w:ascii="Arial" w:hAnsi="Arial" w:eastAsia="WenQuanYi Micro Hei" w:cs="Arial"/>
          <w:vanish/>
          <w:color w:val="000000"/>
          <w:sz w:val="20"/>
          <w:lang w:eastAsia="zh-CN" w:bidi="hi-IN"/>
        </w:rPr>
      </w:pPr>
    </w:p>
    <w:p>
      <w:pPr>
        <w:pStyle w:val="30"/>
        <w:widowControl/>
        <w:numPr>
          <w:ilvl w:val="1"/>
          <w:numId w:val="21"/>
        </w:numPr>
        <w:suppressAutoHyphens w:val="0"/>
        <w:spacing w:before="120" w:after="120" w:line="276" w:lineRule="auto"/>
        <w:contextualSpacing w:val="0"/>
        <w:jc w:val="both"/>
        <w:rPr>
          <w:rFonts w:ascii="Arial" w:hAnsi="Arial" w:cs="Arial"/>
          <w:sz w:val="20"/>
          <w:lang w:eastAsia="en-US"/>
        </w:rPr>
      </w:pPr>
      <w:r>
        <w:rPr>
          <w:rFonts w:ascii="Arial" w:hAnsi="Arial" w:cs="Arial"/>
          <w:sz w:val="20"/>
          <w:lang w:eastAsia="en-US"/>
        </w:rPr>
        <w:t>As regras acerca do pagamento são as estabelecidas no Projeto Básico, anexo a este Edital.</w:t>
      </w:r>
    </w:p>
    <w:p>
      <w:pPr>
        <w:pStyle w:val="6"/>
        <w:spacing w:before="120"/>
        <w:ind w:left="480"/>
        <w:jc w:val="both"/>
        <w:rPr>
          <w:rFonts w:ascii="Arial" w:hAnsi="Arial" w:cs="Arial"/>
          <w:b/>
          <w:color w:val="000000"/>
          <w:sz w:val="20"/>
        </w:rPr>
      </w:pPr>
    </w:p>
    <w:p>
      <w:pPr>
        <w:widowControl/>
        <w:numPr>
          <w:ilvl w:val="0"/>
          <w:numId w:val="20"/>
        </w:numPr>
        <w:suppressAutoHyphens w:val="0"/>
        <w:spacing w:before="120" w:after="120" w:line="276" w:lineRule="auto"/>
        <w:ind w:left="0" w:firstLine="0"/>
        <w:jc w:val="both"/>
        <w:rPr>
          <w:rFonts w:ascii="Arial" w:hAnsi="Arial" w:cs="Arial"/>
          <w:b/>
          <w:color w:val="000000"/>
          <w:sz w:val="20"/>
        </w:rPr>
      </w:pPr>
      <w:r>
        <w:rPr>
          <w:rFonts w:ascii="Arial" w:hAnsi="Arial" w:cs="Arial"/>
          <w:b/>
          <w:color w:val="000000"/>
          <w:sz w:val="20"/>
        </w:rPr>
        <w:t>DAS SANÇÕES ADMINISTRATIVAS.</w:t>
      </w:r>
    </w:p>
    <w:p>
      <w:pPr>
        <w:pStyle w:val="36"/>
        <w:numPr>
          <w:ilvl w:val="1"/>
          <w:numId w:val="22"/>
        </w:numPr>
        <w:ind w:left="425" w:firstLine="0"/>
        <w:rPr>
          <w:rFonts w:ascii="Arial" w:hAnsi="Arial" w:cs="Arial"/>
          <w:color w:val="000000"/>
        </w:rPr>
      </w:pPr>
      <w:r>
        <w:rPr>
          <w:rFonts w:ascii="Arial" w:hAnsi="Arial" w:cs="Arial"/>
        </w:rPr>
        <w:t xml:space="preserve">Comete infração administrativa nos termos da Lei nº 8.666, de 1993, o </w:t>
      </w:r>
      <w:r>
        <w:rPr>
          <w:rFonts w:ascii="Arial" w:hAnsi="Arial" w:cs="Arial"/>
          <w:color w:val="000000"/>
        </w:rPr>
        <w:t>licitante/adjudicatário que:</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não assinar o termo de contrato, quando convocado dentro do prazo de validade da proposta;</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apresentar documentação falsa;</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deixar de entregar os documentos exigidos no certame;</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ensejar o retardamento da execução do objeto;</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não mantiver a proposta;</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cometer fraude fiscal;</w:t>
      </w:r>
    </w:p>
    <w:p>
      <w:pPr>
        <w:widowControl/>
        <w:numPr>
          <w:ilvl w:val="2"/>
          <w:numId w:val="22"/>
        </w:numPr>
        <w:suppressAutoHyphens w:val="0"/>
        <w:spacing w:before="120" w:after="120" w:line="276" w:lineRule="auto"/>
        <w:ind w:left="1134" w:firstLine="0"/>
        <w:jc w:val="both"/>
        <w:rPr>
          <w:rFonts w:ascii="Arial" w:hAnsi="Arial" w:cs="Arial"/>
          <w:color w:val="000000"/>
          <w:sz w:val="20"/>
        </w:rPr>
      </w:pPr>
      <w:r>
        <w:rPr>
          <w:rFonts w:ascii="Arial" w:hAnsi="Arial" w:cs="Arial"/>
          <w:color w:val="000000"/>
          <w:sz w:val="20"/>
        </w:rPr>
        <w:t>comportar-se de modo inidôneo.</w:t>
      </w:r>
    </w:p>
    <w:p>
      <w:pPr>
        <w:pStyle w:val="36"/>
        <w:numPr>
          <w:ilvl w:val="1"/>
          <w:numId w:val="22"/>
        </w:numPr>
        <w:ind w:left="425" w:firstLine="0"/>
        <w:rPr>
          <w:rFonts w:ascii="Arial" w:hAnsi="Arial" w:cs="Arial"/>
          <w:color w:val="000000"/>
        </w:rPr>
      </w:pPr>
      <w:r>
        <w:rPr>
          <w:rFonts w:ascii="Arial" w:hAnsi="Arial" w:cs="Arial"/>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r>
        <w:rPr>
          <w:rFonts w:ascii="Arial" w:hAnsi="Arial" w:cs="Arial"/>
          <w:color w:val="000000"/>
        </w:rPr>
        <w:cr/>
      </w:r>
    </w:p>
    <w:p>
      <w:pPr>
        <w:pStyle w:val="36"/>
        <w:numPr>
          <w:ilvl w:val="1"/>
          <w:numId w:val="22"/>
        </w:numPr>
        <w:ind w:left="425" w:firstLine="0"/>
        <w:rPr>
          <w:rFonts w:ascii="Arial" w:hAnsi="Arial" w:cs="Arial"/>
          <w:color w:val="000000"/>
        </w:rPr>
      </w:pPr>
      <w:r>
        <w:rPr>
          <w:rFonts w:ascii="Arial" w:hAnsi="Arial" w:cs="Arial"/>
          <w:shd w:val="clear" w:color="auto" w:fill="FFFFFF"/>
        </w:rPr>
        <w:t>O licitante/adjudicatário que cometer qualquer das infrações acima discriminadas ficará sujeita, sem prejuízo da responsabilidade civil e criminal, às seguintes sanções:</w:t>
      </w:r>
    </w:p>
    <w:p>
      <w:pPr>
        <w:pStyle w:val="38"/>
        <w:numPr>
          <w:ilvl w:val="2"/>
          <w:numId w:val="22"/>
        </w:numPr>
        <w:ind w:left="1134" w:firstLine="0"/>
        <w:rPr>
          <w:rFonts w:ascii="Arial" w:hAnsi="Arial"/>
        </w:rPr>
      </w:pPr>
      <w:r>
        <w:rPr>
          <w:rFonts w:ascii="Arial" w:hAnsi="Arial"/>
        </w:rPr>
        <w:t>advertência por faltas leves, assim entendidas aquelas que não acarretem prejuízos significativos para a Contratante;</w:t>
      </w:r>
    </w:p>
    <w:p>
      <w:pPr>
        <w:pStyle w:val="30"/>
        <w:numPr>
          <w:ilvl w:val="2"/>
          <w:numId w:val="23"/>
        </w:numPr>
        <w:spacing w:before="120" w:after="120" w:line="276" w:lineRule="auto"/>
        <w:ind w:left="1134" w:firstLine="0"/>
        <w:rPr>
          <w:rFonts w:ascii="Arial" w:hAnsi="Arial" w:cs="Arial"/>
          <w:color w:val="000000"/>
          <w:sz w:val="20"/>
        </w:rPr>
      </w:pPr>
      <w:r>
        <w:rPr>
          <w:rFonts w:ascii="Arial" w:hAnsi="Arial" w:cs="Arial"/>
          <w:color w:val="000000"/>
          <w:sz w:val="20"/>
        </w:rPr>
        <w:t xml:space="preserve">Multa de </w:t>
      </w:r>
      <w:r>
        <w:rPr>
          <w:rFonts w:hint="default" w:ascii="Arial" w:hAnsi="Arial" w:cs="Arial"/>
          <w:color w:val="000000"/>
          <w:sz w:val="20"/>
          <w:lang w:val="pt-BR"/>
        </w:rPr>
        <w:t>2</w:t>
      </w:r>
      <w:r>
        <w:rPr>
          <w:rFonts w:ascii="Arial" w:hAnsi="Arial" w:cs="Arial"/>
          <w:color w:val="000000"/>
          <w:sz w:val="20"/>
        </w:rPr>
        <w:t>% (</w:t>
      </w:r>
      <w:r>
        <w:rPr>
          <w:rFonts w:hint="default" w:ascii="Arial" w:hAnsi="Arial" w:cs="Arial"/>
          <w:color w:val="000000"/>
          <w:sz w:val="20"/>
          <w:lang w:val="pt-BR"/>
        </w:rPr>
        <w:t>Dois</w:t>
      </w:r>
      <w:r>
        <w:rPr>
          <w:rFonts w:ascii="Arial" w:hAnsi="Arial" w:cs="Arial"/>
          <w:color w:val="000000"/>
          <w:sz w:val="20"/>
        </w:rPr>
        <w:t xml:space="preserve"> por cento) sobre o valor estimado do(s) item(s) prejudicado(s) pela conduta do licitante;</w:t>
      </w:r>
    </w:p>
    <w:p>
      <w:pPr>
        <w:pStyle w:val="38"/>
        <w:numPr>
          <w:ilvl w:val="2"/>
          <w:numId w:val="23"/>
        </w:numPr>
        <w:ind w:left="1134" w:firstLine="0"/>
        <w:rPr>
          <w:rFonts w:ascii="Arial" w:hAnsi="Arial"/>
        </w:rPr>
      </w:pPr>
      <w:r>
        <w:rPr>
          <w:rFonts w:ascii="Arial" w:hAnsi="Arial"/>
        </w:rPr>
        <w:t>Suspensão de licitar e impedimento de contratar com o órgão, entidade ou unidade administrativa pela qual a Administração Pública opera e atua concretamente, pelo prazo de até dois anos;</w:t>
      </w:r>
    </w:p>
    <w:p>
      <w:pPr>
        <w:pStyle w:val="38"/>
        <w:numPr>
          <w:ilvl w:val="2"/>
          <w:numId w:val="23"/>
        </w:numPr>
        <w:ind w:left="1134" w:firstLine="0"/>
        <w:rPr>
          <w:rFonts w:ascii="Arial" w:hAnsi="Arial"/>
        </w:rPr>
      </w:pPr>
      <w:r>
        <w:rPr>
          <w:rFonts w:ascii="Arial" w:hAnsi="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36"/>
        <w:numPr>
          <w:ilvl w:val="1"/>
          <w:numId w:val="22"/>
        </w:numPr>
        <w:ind w:left="425" w:firstLine="0"/>
        <w:rPr>
          <w:rFonts w:ascii="Arial" w:hAnsi="Arial" w:cs="Arial"/>
          <w:color w:val="000000"/>
        </w:rPr>
      </w:pPr>
      <w:r>
        <w:rPr>
          <w:rFonts w:ascii="Arial" w:hAnsi="Arial" w:cs="Arial"/>
          <w:color w:val="000000"/>
        </w:rPr>
        <w:t>A penalidade de multa pode ser aplicada cumulativamente com as demais sanções.</w:t>
      </w:r>
    </w:p>
    <w:p>
      <w:pPr>
        <w:pStyle w:val="36"/>
        <w:numPr>
          <w:ilvl w:val="1"/>
          <w:numId w:val="22"/>
        </w:numPr>
        <w:ind w:left="425" w:firstLine="0"/>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36"/>
        <w:numPr>
          <w:ilvl w:val="1"/>
          <w:numId w:val="22"/>
        </w:numPr>
        <w:ind w:left="425" w:firstLine="0"/>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36"/>
        <w:numPr>
          <w:ilvl w:val="1"/>
          <w:numId w:val="22"/>
        </w:numPr>
        <w:ind w:left="425" w:firstLine="0"/>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36"/>
        <w:numPr>
          <w:ilvl w:val="1"/>
          <w:numId w:val="22"/>
        </w:numPr>
        <w:ind w:left="425" w:firstLine="0"/>
        <w:rPr>
          <w:rFonts w:ascii="Arial" w:hAnsi="Arial" w:cs="Arial"/>
        </w:rPr>
      </w:pPr>
      <w:r>
        <w:rPr>
          <w:rFonts w:ascii="Arial" w:hAnsi="Arial" w:cs="Arial"/>
        </w:rPr>
        <w:t>Caso o valor da multa não seja suficiente para cobrir os prejuízos causados pela conduta do licitante, a União ou Entidade poderá cobrar o valor remanescente judicialmente, conforme artigo 419 do Código Civil.</w:t>
      </w:r>
    </w:p>
    <w:p>
      <w:pPr>
        <w:pStyle w:val="36"/>
        <w:numPr>
          <w:ilvl w:val="1"/>
          <w:numId w:val="22"/>
        </w:numPr>
        <w:ind w:left="425" w:firstLine="0"/>
        <w:rPr>
          <w:rFonts w:ascii="Arial" w:hAnsi="Arial" w:cs="Arial"/>
        </w:rPr>
      </w:pPr>
      <w:r>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pPr>
        <w:pStyle w:val="36"/>
        <w:numPr>
          <w:ilvl w:val="1"/>
          <w:numId w:val="22"/>
        </w:numPr>
        <w:ind w:left="425" w:firstLine="0"/>
        <w:rPr>
          <w:rFonts w:ascii="Arial" w:hAnsi="Arial" w:cs="Arial"/>
        </w:rPr>
      </w:pPr>
      <w:r>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pPr>
        <w:pStyle w:val="36"/>
        <w:numPr>
          <w:ilvl w:val="1"/>
          <w:numId w:val="24"/>
        </w:numPr>
        <w:ind w:left="425" w:firstLine="0"/>
        <w:rPr>
          <w:rFonts w:ascii="Arial" w:hAnsi="Arial" w:cs="Arial"/>
        </w:rPr>
      </w:pPr>
      <w:r>
        <w:rPr>
          <w:rFonts w:ascii="Arial" w:hAnsi="Arial" w:cs="Arial"/>
        </w:rPr>
        <w:t>As penalidades serão obrigatoriamente registradas no SICAF.</w:t>
      </w:r>
    </w:p>
    <w:p>
      <w:pPr>
        <w:pStyle w:val="36"/>
        <w:numPr>
          <w:ilvl w:val="1"/>
          <w:numId w:val="24"/>
        </w:numPr>
        <w:ind w:left="425" w:firstLine="0"/>
        <w:rPr>
          <w:rFonts w:ascii="Arial" w:hAnsi="Arial" w:cs="Arial"/>
        </w:rPr>
      </w:pPr>
      <w:r>
        <w:rPr>
          <w:rFonts w:ascii="Arial" w:hAnsi="Arial" w:cs="Arial"/>
          <w:color w:val="000000"/>
        </w:rPr>
        <w:t>As sanções por atos praticados no decorrer da contratação estão previstas no Projeto Básico.</w:t>
      </w:r>
    </w:p>
    <w:p>
      <w:pPr>
        <w:pStyle w:val="36"/>
        <w:numPr>
          <w:ilvl w:val="0"/>
          <w:numId w:val="0"/>
        </w:numPr>
        <w:ind w:left="425"/>
        <w:rPr>
          <w:rFonts w:ascii="Arial" w:hAnsi="Arial" w:cs="Arial"/>
        </w:rPr>
      </w:pPr>
    </w:p>
    <w:p>
      <w:pPr>
        <w:widowControl/>
        <w:numPr>
          <w:ilvl w:val="0"/>
          <w:numId w:val="20"/>
        </w:numPr>
        <w:suppressAutoHyphens w:val="0"/>
        <w:spacing w:before="120" w:after="120" w:line="276" w:lineRule="auto"/>
        <w:ind w:left="0" w:firstLine="0"/>
        <w:jc w:val="both"/>
        <w:rPr>
          <w:rFonts w:ascii="Arial" w:hAnsi="Arial" w:cs="Arial"/>
          <w:sz w:val="20"/>
        </w:rPr>
      </w:pPr>
      <w:r>
        <w:rPr>
          <w:rFonts w:ascii="Arial" w:hAnsi="Arial" w:cs="Arial"/>
          <w:b/>
          <w:color w:val="000000"/>
          <w:sz w:val="20"/>
        </w:rPr>
        <w:t>DA IMPUGNAÇÃO</w:t>
      </w:r>
    </w:p>
    <w:p>
      <w:pPr>
        <w:numPr>
          <w:ilvl w:val="1"/>
          <w:numId w:val="20"/>
        </w:numPr>
        <w:spacing w:before="120" w:after="120" w:line="276" w:lineRule="auto"/>
        <w:ind w:left="425" w:firstLine="0"/>
        <w:jc w:val="both"/>
        <w:rPr>
          <w:rFonts w:ascii="Arial" w:hAnsi="Arial" w:cs="Arial"/>
          <w:sz w:val="20"/>
        </w:rPr>
      </w:pPr>
      <w:r>
        <w:rPr>
          <w:rFonts w:ascii="Arial" w:hAnsi="Arial" w:cs="Arial"/>
          <w:sz w:val="20"/>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pPr>
        <w:numPr>
          <w:ilvl w:val="1"/>
          <w:numId w:val="20"/>
        </w:numPr>
        <w:spacing w:before="120" w:after="120" w:line="276" w:lineRule="auto"/>
        <w:ind w:left="425" w:firstLine="0"/>
        <w:jc w:val="both"/>
        <w:rPr>
          <w:rFonts w:ascii="Arial" w:hAnsi="Arial" w:cs="Arial"/>
          <w:sz w:val="20"/>
        </w:rPr>
      </w:pPr>
      <w:r>
        <w:rPr>
          <w:rFonts w:ascii="Arial" w:hAnsi="Arial" w:cs="Arial"/>
          <w:sz w:val="20"/>
        </w:rPr>
        <w:t>A impugnação feita tempestivamente pelo licitante não o impedirá de participar do processo licitatório até o trânsito em julgado da decisão a ela pertinente.</w:t>
      </w:r>
    </w:p>
    <w:p>
      <w:pPr>
        <w:numPr>
          <w:ilvl w:val="1"/>
          <w:numId w:val="20"/>
        </w:numPr>
        <w:spacing w:before="120" w:after="120" w:line="276" w:lineRule="auto"/>
        <w:ind w:left="425" w:firstLine="0"/>
        <w:jc w:val="both"/>
        <w:rPr>
          <w:rFonts w:ascii="Arial" w:hAnsi="Arial" w:cs="Arial"/>
          <w:sz w:val="20"/>
        </w:rPr>
      </w:pPr>
      <w:r>
        <w:rPr>
          <w:rFonts w:ascii="Arial" w:hAnsi="Arial" w:cs="Arial"/>
          <w:sz w:val="20"/>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Pr>
          <w:rFonts w:ascii="Arial" w:hAnsi="Arial" w:cs="Arial"/>
          <w:sz w:val="20"/>
          <w:u w:val="single"/>
          <w:vertAlign w:val="superscript"/>
        </w:rPr>
        <w:t>o</w:t>
      </w:r>
      <w:r>
        <w:rPr>
          <w:rFonts w:ascii="Arial" w:hAnsi="Arial" w:cs="Arial"/>
          <w:sz w:val="20"/>
        </w:rPr>
        <w:t xml:space="preserve"> do art. 113 da referida Lei.</w:t>
      </w:r>
    </w:p>
    <w:p>
      <w:pPr>
        <w:numPr>
          <w:ilvl w:val="1"/>
          <w:numId w:val="20"/>
        </w:numPr>
        <w:spacing w:before="120" w:after="120" w:line="276" w:lineRule="auto"/>
        <w:ind w:left="425" w:firstLine="0"/>
        <w:jc w:val="both"/>
        <w:rPr>
          <w:rFonts w:ascii="Arial" w:hAnsi="Arial" w:cs="Arial"/>
          <w:b/>
          <w:bCs/>
          <w:color w:val="auto"/>
          <w:sz w:val="20"/>
          <w:u w:val="single"/>
        </w:rPr>
      </w:pPr>
      <w:r>
        <w:rPr>
          <w:rFonts w:ascii="Arial" w:hAnsi="Arial" w:cs="Arial"/>
          <w:b/>
          <w:bCs/>
          <w:color w:val="auto"/>
          <w:sz w:val="20"/>
          <w:u w:val="single"/>
        </w:rPr>
        <w:t xml:space="preserve">A impugnação poderá ser realizada por forma eletrônica, pelo e-mail </w:t>
      </w:r>
      <w:r>
        <w:rPr>
          <w:rFonts w:hint="default" w:ascii="Arial" w:hAnsi="Arial" w:cs="Arial"/>
          <w:b/>
          <w:bCs/>
          <w:color w:val="auto"/>
          <w:sz w:val="20"/>
          <w:u w:val="single"/>
          <w:lang w:val="pt-BR"/>
        </w:rPr>
        <w:t>cpl@cfs.ifmt.edu.br</w:t>
      </w:r>
      <w:r>
        <w:rPr>
          <w:rFonts w:ascii="Arial" w:hAnsi="Arial" w:cs="Arial"/>
          <w:b/>
          <w:bCs/>
          <w:color w:val="auto"/>
          <w:sz w:val="20"/>
          <w:u w:val="single"/>
        </w:rPr>
        <w:t xml:space="preserve">,  ou por petição dirigida ou protocolada no endereço </w:t>
      </w:r>
      <w:r>
        <w:rPr>
          <w:rFonts w:hint="default" w:ascii="Arial" w:hAnsi="Arial" w:cs="Arial"/>
          <w:b/>
          <w:bCs/>
          <w:color w:val="auto"/>
          <w:sz w:val="20"/>
          <w:u w:val="single"/>
          <w:lang w:val="pt-BR"/>
        </w:rPr>
        <w:t>Av. Vilmar Fernandes, nº 300, Setor Santa Luzia, CEP 78652-000, Confresa-MT.</w:t>
      </w:r>
    </w:p>
    <w:p>
      <w:pPr>
        <w:spacing w:after="120" w:line="276" w:lineRule="auto"/>
        <w:jc w:val="both"/>
        <w:rPr>
          <w:rFonts w:ascii="Arial" w:hAnsi="Arial" w:cs="Arial"/>
          <w:sz w:val="20"/>
        </w:rPr>
      </w:pPr>
    </w:p>
    <w:p>
      <w:pPr>
        <w:widowControl/>
        <w:numPr>
          <w:ilvl w:val="0"/>
          <w:numId w:val="20"/>
        </w:numPr>
        <w:suppressAutoHyphens w:val="0"/>
        <w:spacing w:before="120" w:after="120" w:line="276" w:lineRule="auto"/>
        <w:ind w:left="0" w:firstLine="0"/>
        <w:jc w:val="both"/>
        <w:rPr>
          <w:rFonts w:ascii="Arial" w:hAnsi="Arial" w:cs="Arial"/>
          <w:b/>
          <w:color w:val="000000"/>
          <w:sz w:val="20"/>
        </w:rPr>
      </w:pPr>
      <w:r>
        <w:rPr>
          <w:rFonts w:ascii="Arial" w:hAnsi="Arial" w:cs="Arial"/>
          <w:b/>
          <w:color w:val="000000"/>
          <w:sz w:val="20"/>
        </w:rPr>
        <w:t>DAS DISPOSIÇÕES GERAIS</w:t>
      </w:r>
    </w:p>
    <w:p>
      <w:pPr>
        <w:numPr>
          <w:ilvl w:val="1"/>
          <w:numId w:val="20"/>
        </w:numPr>
        <w:tabs>
          <w:tab w:val="left" w:pos="1276"/>
        </w:tabs>
        <w:spacing w:before="120" w:after="120" w:line="276" w:lineRule="auto"/>
        <w:ind w:left="425" w:firstLine="0"/>
        <w:jc w:val="both"/>
        <w:rPr>
          <w:rFonts w:ascii="Arial" w:hAnsi="Arial" w:cs="Arial"/>
          <w:sz w:val="20"/>
        </w:rPr>
      </w:pPr>
      <w:r>
        <w:rPr>
          <w:rFonts w:ascii="Arial" w:hAnsi="Arial" w:cs="Arial"/>
          <w:sz w:val="20"/>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pPr>
        <w:numPr>
          <w:ilvl w:val="1"/>
          <w:numId w:val="20"/>
        </w:numPr>
        <w:tabs>
          <w:tab w:val="left" w:pos="1276"/>
        </w:tabs>
        <w:spacing w:before="120" w:after="120" w:line="276" w:lineRule="auto"/>
        <w:ind w:left="425" w:firstLine="0"/>
        <w:jc w:val="both"/>
        <w:rPr>
          <w:rFonts w:ascii="Arial" w:hAnsi="Arial" w:cs="Arial"/>
          <w:color w:val="000000"/>
          <w:sz w:val="20"/>
        </w:rPr>
      </w:pPr>
      <w:r>
        <w:rPr>
          <w:rFonts w:ascii="Arial" w:hAnsi="Arial" w:cs="Arial"/>
          <w:color w:val="000000"/>
          <w:sz w:val="20"/>
        </w:rPr>
        <w:t>A homologação do resultado desta licitação não implicará direito à contratação.</w:t>
      </w:r>
    </w:p>
    <w:p>
      <w:pPr>
        <w:numPr>
          <w:ilvl w:val="1"/>
          <w:numId w:val="20"/>
        </w:numPr>
        <w:tabs>
          <w:tab w:val="left" w:pos="1276"/>
        </w:tabs>
        <w:spacing w:before="120" w:after="120" w:line="276" w:lineRule="auto"/>
        <w:ind w:left="425" w:firstLine="0"/>
        <w:jc w:val="both"/>
        <w:rPr>
          <w:rFonts w:ascii="Arial" w:hAnsi="Arial" w:cs="Arial"/>
          <w:color w:val="000000"/>
          <w:sz w:val="20"/>
        </w:rPr>
      </w:pPr>
      <w:r>
        <w:rPr>
          <w:rFonts w:ascii="Arial" w:hAnsi="Arial" w:cs="Arial"/>
          <w:color w:val="000000"/>
          <w:sz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36"/>
        <w:numPr>
          <w:ilvl w:val="1"/>
          <w:numId w:val="20"/>
        </w:numPr>
        <w:ind w:left="425" w:firstLine="0"/>
        <w:rPr>
          <w:rFonts w:ascii="Arial" w:hAnsi="Arial" w:cs="Arial"/>
          <w:u w:val="single"/>
          <w:shd w:val="clear" w:color="auto" w:fill="B3B3B3"/>
        </w:rPr>
      </w:pPr>
      <w:r>
        <w:rPr>
          <w:rFonts w:ascii="Arial" w:hAnsi="Arial" w:cs="Arial"/>
        </w:rPr>
        <w:t>A participação na licitação implica plena aceitação, por parte do licitante, das condições estabelecidas neste instrumento convocatório e seus Anexos, bem como da obrigatoriedade do cumprimento das disposições nele contidas.</w:t>
      </w:r>
    </w:p>
    <w:p>
      <w:pPr>
        <w:pStyle w:val="36"/>
        <w:numPr>
          <w:ilvl w:val="1"/>
          <w:numId w:val="20"/>
        </w:numPr>
        <w:ind w:left="425" w:firstLine="0"/>
        <w:rPr>
          <w:rFonts w:ascii="Arial" w:hAnsi="Arial" w:cs="Arial"/>
        </w:rPr>
      </w:pPr>
      <w:r>
        <w:rPr>
          <w:rFonts w:ascii="Arial" w:hAnsi="Arial"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pPr>
        <w:pStyle w:val="36"/>
        <w:numPr>
          <w:ilvl w:val="1"/>
          <w:numId w:val="20"/>
        </w:numPr>
        <w:ind w:left="425" w:firstLine="0"/>
        <w:rPr>
          <w:rFonts w:ascii="Arial" w:hAnsi="Arial" w:cs="Arial"/>
        </w:rPr>
      </w:pPr>
      <w:r>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pPr>
        <w:pStyle w:val="36"/>
        <w:numPr>
          <w:ilvl w:val="1"/>
          <w:numId w:val="20"/>
        </w:numPr>
        <w:ind w:left="425" w:firstLine="0"/>
        <w:rPr>
          <w:rFonts w:ascii="Arial" w:hAnsi="Arial" w:cs="Arial"/>
        </w:rPr>
      </w:pPr>
      <w:r>
        <w:rPr>
          <w:rFonts w:ascii="Arial" w:hAnsi="Arial" w:cs="Arial"/>
          <w:color w:val="000000"/>
        </w:rPr>
        <w:t xml:space="preserve">No julgamento das propostas e da habilitação, a Comissão poderá sanar erros ou falhas que não alterem a substância das propostas, dos documentos e sua validade jurídica, mediante despacho </w:t>
      </w:r>
      <w:r>
        <w:rPr>
          <w:rFonts w:ascii="Arial" w:hAnsi="Arial" w:cs="Arial"/>
        </w:rPr>
        <w:t>fundamentado</w:t>
      </w:r>
      <w:r>
        <w:rPr>
          <w:rFonts w:ascii="Arial" w:hAnsi="Arial" w:cs="Arial"/>
          <w:color w:val="000000"/>
        </w:rPr>
        <w:t>, registrado em ata e acessível a todos, atribuindo-lhes validade e eficácia para fins de habilitação e classificação.</w:t>
      </w:r>
    </w:p>
    <w:p>
      <w:pPr>
        <w:pStyle w:val="36"/>
        <w:numPr>
          <w:ilvl w:val="1"/>
          <w:numId w:val="20"/>
        </w:numPr>
        <w:ind w:left="425" w:firstLine="0"/>
        <w:rPr>
          <w:rFonts w:ascii="Arial" w:hAnsi="Arial" w:cs="Arial"/>
        </w:rPr>
      </w:pPr>
      <w:r>
        <w:rPr>
          <w:rFonts w:ascii="Arial" w:hAnsi="Arial" w:cs="Arial"/>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pPr>
        <w:pStyle w:val="36"/>
        <w:numPr>
          <w:ilvl w:val="1"/>
          <w:numId w:val="20"/>
        </w:numPr>
        <w:ind w:left="425" w:firstLine="0"/>
        <w:rPr>
          <w:rFonts w:ascii="Arial" w:hAnsi="Arial" w:cs="Arial"/>
        </w:rPr>
      </w:pPr>
      <w:r>
        <w:rPr>
          <w:rFonts w:ascii="Arial" w:hAnsi="Arial" w:cs="Arial"/>
        </w:rPr>
        <w:t>Os licitantes, quando solicitados,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pPr>
        <w:pStyle w:val="36"/>
        <w:numPr>
          <w:ilvl w:val="1"/>
          <w:numId w:val="20"/>
        </w:numPr>
        <w:ind w:left="425" w:firstLine="0"/>
        <w:rPr>
          <w:rFonts w:ascii="Arial" w:hAnsi="Arial" w:cs="Arial"/>
          <w:u w:val="single"/>
          <w:shd w:val="clear" w:color="auto" w:fill="B3B3B3"/>
        </w:rPr>
      </w:pPr>
      <w:r>
        <w:rPr>
          <w:rFonts w:ascii="Arial" w:hAnsi="Arial" w:cs="Arial"/>
        </w:rPr>
        <w:t>As normas que disciplinam este certame serão sempre interpretadas em favor da ampliação da disputa entre os interessados, desde que não comprometam o interesse da Administração, o princípio da isonomia, a finalidade e a segurança da contratação.</w:t>
      </w:r>
    </w:p>
    <w:p>
      <w:pPr>
        <w:numPr>
          <w:ilvl w:val="1"/>
          <w:numId w:val="20"/>
        </w:numPr>
        <w:tabs>
          <w:tab w:val="left" w:pos="1276"/>
        </w:tabs>
        <w:spacing w:before="120" w:after="120" w:line="276" w:lineRule="auto"/>
        <w:ind w:left="425" w:firstLine="0"/>
        <w:jc w:val="both"/>
        <w:rPr>
          <w:rFonts w:ascii="Arial" w:hAnsi="Arial" w:cs="Arial"/>
          <w:color w:val="000000"/>
          <w:sz w:val="20"/>
        </w:rPr>
      </w:pPr>
      <w:r>
        <w:rPr>
          <w:rFonts w:ascii="Arial" w:hAnsi="Arial" w:cs="Arial"/>
          <w:sz w:val="20"/>
        </w:rPr>
        <w:t>Em caso de cobrança pelo fornecimento de cópia da íntegra deste Edital e de seus anexos, o valor se limitará ao custo efetivo da reprodução gráfica de tais documentos, nos termos do artigo 32, § 5°, da Lei n° 8.666, de 1993.</w:t>
      </w:r>
    </w:p>
    <w:p>
      <w:pPr>
        <w:numPr>
          <w:ilvl w:val="1"/>
          <w:numId w:val="20"/>
        </w:numPr>
        <w:tabs>
          <w:tab w:val="left" w:pos="1276"/>
        </w:tabs>
        <w:spacing w:before="120" w:after="120" w:line="276" w:lineRule="auto"/>
        <w:ind w:left="425" w:firstLine="0"/>
        <w:jc w:val="both"/>
        <w:rPr>
          <w:rFonts w:ascii="Arial" w:hAnsi="Arial" w:cs="Arial"/>
          <w:color w:val="000000"/>
          <w:sz w:val="20"/>
        </w:rPr>
      </w:pPr>
      <w:r>
        <w:rPr>
          <w:rFonts w:ascii="Arial" w:hAnsi="Arial" w:cs="Arial"/>
          <w:color w:val="000000"/>
          <w:sz w:val="20"/>
        </w:rPr>
        <w:t>Na contagem dos prazos estabelecidos neste Edital e seus Anexos, excluir-se-á o dia do início e incluir-se-á o do vencimento. Só se iniciam e vencem os prazos em dias de expediente na Administração.</w:t>
      </w:r>
    </w:p>
    <w:p>
      <w:pPr>
        <w:numPr>
          <w:ilvl w:val="1"/>
          <w:numId w:val="20"/>
        </w:numPr>
        <w:tabs>
          <w:tab w:val="left" w:pos="1276"/>
        </w:tabs>
        <w:spacing w:before="120" w:after="120" w:line="276" w:lineRule="auto"/>
        <w:ind w:left="425" w:firstLine="0"/>
        <w:jc w:val="both"/>
        <w:rPr>
          <w:rFonts w:ascii="Arial" w:hAnsi="Arial" w:cs="Arial"/>
          <w:color w:val="000000"/>
          <w:sz w:val="20"/>
        </w:rPr>
      </w:pPr>
      <w:r>
        <w:rPr>
          <w:rFonts w:ascii="Arial" w:hAnsi="Arial" w:cs="Arial"/>
          <w:color w:val="000000"/>
          <w:sz w:val="20"/>
        </w:rPr>
        <w:t xml:space="preserve">O desatendimento de exigências formais não essenciais não importará o afastamento do </w:t>
      </w:r>
      <w:r>
        <w:rPr>
          <w:rFonts w:ascii="Arial" w:hAnsi="Arial" w:cs="Arial"/>
          <w:sz w:val="20"/>
        </w:rPr>
        <w:t>licitante</w:t>
      </w:r>
      <w:r>
        <w:rPr>
          <w:rFonts w:ascii="Arial" w:hAnsi="Arial" w:cs="Arial"/>
          <w:color w:val="000000"/>
          <w:sz w:val="20"/>
        </w:rPr>
        <w:t>, desde que seja possível o aproveitamento do ato, observados os princípios da isonomia e do interesse público.</w:t>
      </w:r>
    </w:p>
    <w:p>
      <w:pPr>
        <w:numPr>
          <w:ilvl w:val="1"/>
          <w:numId w:val="20"/>
        </w:numPr>
        <w:spacing w:before="120" w:after="120" w:line="276" w:lineRule="auto"/>
        <w:ind w:left="425" w:firstLine="0"/>
        <w:jc w:val="both"/>
        <w:rPr>
          <w:rFonts w:ascii="Arial" w:hAnsi="Arial" w:cs="Arial"/>
          <w:color w:val="000000"/>
          <w:sz w:val="20"/>
        </w:rPr>
      </w:pPr>
      <w:r>
        <w:rPr>
          <w:rFonts w:ascii="Arial" w:hAnsi="Arial" w:cs="Arial"/>
          <w:color w:val="000000"/>
          <w:sz w:val="20"/>
        </w:rPr>
        <w:t>Em caso de divergência entre disposições deste Edital e de seus Anexos ou demais peças que compõem o processo, prevalecerão as deste Edital.</w:t>
      </w:r>
    </w:p>
    <w:p>
      <w:pPr>
        <w:pStyle w:val="36"/>
        <w:numPr>
          <w:ilvl w:val="1"/>
          <w:numId w:val="20"/>
        </w:numPr>
        <w:ind w:left="425" w:firstLine="0"/>
        <w:rPr>
          <w:rFonts w:ascii="Arial" w:hAnsi="Arial" w:cs="Arial"/>
          <w:u w:val="single"/>
          <w:shd w:val="clear" w:color="auto" w:fill="B3B3B3"/>
        </w:rPr>
      </w:pPr>
      <w:r>
        <w:rPr>
          <w:rFonts w:ascii="Arial" w:hAnsi="Arial" w:cs="Arial"/>
        </w:rPr>
        <w:t>Os casos omissos serão dirimidos pela Comissão com base nas disposições da Lei n. 8.666, de 1993, e demais diplomas legais eventualmente aplicáveis.</w:t>
      </w:r>
    </w:p>
    <w:p>
      <w:pPr>
        <w:numPr>
          <w:ilvl w:val="1"/>
          <w:numId w:val="20"/>
        </w:numPr>
        <w:spacing w:before="120" w:after="120" w:line="276" w:lineRule="auto"/>
        <w:ind w:left="425" w:firstLine="0"/>
        <w:jc w:val="both"/>
        <w:rPr>
          <w:rFonts w:ascii="Arial" w:hAnsi="Arial" w:cs="Arial"/>
          <w:color w:val="000000"/>
          <w:sz w:val="20"/>
        </w:rPr>
      </w:pPr>
      <w:r>
        <w:rPr>
          <w:rFonts w:ascii="Arial" w:hAnsi="Arial" w:cs="Arial"/>
          <w:color w:val="000000"/>
          <w:sz w:val="20"/>
        </w:rPr>
        <w:t>O Edital está disponibilizado, na íntegra, no endereço</w:t>
      </w:r>
      <w:r>
        <w:rPr>
          <w:rFonts w:hint="default" w:ascii="Arial" w:hAnsi="Arial" w:cs="Arial"/>
          <w:color w:val="000000"/>
          <w:sz w:val="20"/>
          <w:lang w:val="pt-BR"/>
        </w:rPr>
        <w:t xml:space="preserve"> </w:t>
      </w:r>
      <w:r>
        <w:rPr>
          <w:rFonts w:hint="default" w:ascii="Arial" w:hAnsi="Arial" w:cs="Arial"/>
          <w:b/>
          <w:bCs/>
          <w:color w:val="auto"/>
          <w:sz w:val="20"/>
          <w:lang w:val="pt-BR"/>
        </w:rPr>
        <w:t>Av. Vilmar Fernandes, nº 300, Setor Santa Luzia, CEP 78652-000, Confresa-MT</w:t>
      </w:r>
      <w:r>
        <w:rPr>
          <w:rFonts w:ascii="Arial" w:hAnsi="Arial" w:cs="Arial"/>
          <w:color w:val="000000"/>
          <w:sz w:val="20"/>
        </w:rPr>
        <w:t xml:space="preserve"> , e também poderá ser lido e/ou obtido no endereço eletrônico</w:t>
      </w:r>
      <w:r>
        <w:rPr>
          <w:rFonts w:hint="default" w:ascii="Arial" w:hAnsi="Arial" w:cs="Arial"/>
          <w:color w:val="000000"/>
          <w:sz w:val="20"/>
          <w:lang w:val="pt-BR"/>
        </w:rPr>
        <w:t xml:space="preserve"> </w:t>
      </w:r>
      <w:r>
        <w:rPr>
          <w:rFonts w:ascii="Arial" w:hAnsi="Arial" w:cs="Arial"/>
          <w:color w:val="000000"/>
          <w:sz w:val="20"/>
        </w:rPr>
        <w:t xml:space="preserve"> </w:t>
      </w:r>
      <w:r>
        <w:rPr>
          <w:rFonts w:hint="default" w:ascii="Arial" w:hAnsi="Arial"/>
          <w:color w:val="000000"/>
          <w:sz w:val="20"/>
          <w:lang w:val="pt-BR"/>
        </w:rPr>
        <w:t>http://cfs.ifmt.edu.br/</w:t>
      </w:r>
      <w:r>
        <w:rPr>
          <w:rFonts w:ascii="Arial" w:hAnsi="Arial" w:cs="Arial"/>
          <w:color w:val="000000"/>
          <w:sz w:val="20"/>
        </w:rPr>
        <w:t>, nos dias úteis, no horário das</w:t>
      </w:r>
      <w:r>
        <w:rPr>
          <w:rFonts w:hint="default" w:ascii="Arial" w:hAnsi="Arial" w:cs="Arial"/>
          <w:color w:val="000000"/>
          <w:sz w:val="20"/>
          <w:lang w:val="pt-BR"/>
        </w:rPr>
        <w:t xml:space="preserve"> 08:00</w:t>
      </w:r>
      <w:r>
        <w:rPr>
          <w:rFonts w:ascii="Arial" w:hAnsi="Arial" w:cs="Arial"/>
          <w:color w:val="000000"/>
          <w:sz w:val="20"/>
        </w:rPr>
        <w:t xml:space="preserve"> horas às </w:t>
      </w:r>
      <w:r>
        <w:rPr>
          <w:rFonts w:hint="default" w:ascii="Arial" w:hAnsi="Arial" w:cs="Arial"/>
          <w:color w:val="000000"/>
          <w:sz w:val="20"/>
          <w:lang w:val="pt-BR"/>
        </w:rPr>
        <w:t>17</w:t>
      </w:r>
      <w:r>
        <w:rPr>
          <w:rFonts w:ascii="Arial" w:hAnsi="Arial" w:cs="Arial"/>
          <w:color w:val="000000"/>
          <w:sz w:val="20"/>
        </w:rPr>
        <w:t xml:space="preserve"> horas, mesmo endereço e período no qual os autos do processo administrativo permanecerão com vista franqueada aos interessados e onde serão recebidos os documentos de habilitação dos licitantes não credenciados no SICAF, para efeito de cadastramento por esta Administração (art. 22, § 2º, da Lei nº 8.666, de 1993).</w:t>
      </w:r>
    </w:p>
    <w:p>
      <w:pPr>
        <w:numPr>
          <w:ilvl w:val="1"/>
          <w:numId w:val="20"/>
        </w:numPr>
        <w:spacing w:before="120" w:after="120" w:line="276" w:lineRule="auto"/>
        <w:ind w:left="425" w:firstLine="0"/>
        <w:jc w:val="both"/>
        <w:rPr>
          <w:rFonts w:ascii="Arial" w:hAnsi="Arial" w:cs="Arial"/>
          <w:color w:val="000000"/>
          <w:sz w:val="20"/>
        </w:rPr>
      </w:pPr>
      <w:r>
        <w:rPr>
          <w:rFonts w:ascii="Arial" w:hAnsi="Arial" w:cs="Arial"/>
          <w:sz w:val="20"/>
        </w:rPr>
        <w:t xml:space="preserve">O foro para dirimir questões relativas ao presente Edital será o da Seção Judiciária de </w:t>
      </w:r>
      <w:r>
        <w:rPr>
          <w:rFonts w:hint="default" w:ascii="Arial" w:hAnsi="Arial" w:cs="Arial"/>
          <w:sz w:val="20"/>
          <w:lang w:val="pt-BR"/>
        </w:rPr>
        <w:t>Cuiabá-MT</w:t>
      </w:r>
      <w:r>
        <w:rPr>
          <w:rFonts w:ascii="Arial" w:hAnsi="Arial" w:cs="Arial"/>
          <w:sz w:val="20"/>
        </w:rPr>
        <w:t xml:space="preserve"> - Justiça Federal, com exclusão de qualquer outro.</w:t>
      </w:r>
    </w:p>
    <w:p>
      <w:pPr>
        <w:numPr>
          <w:ilvl w:val="1"/>
          <w:numId w:val="20"/>
        </w:numPr>
        <w:spacing w:before="120" w:after="120" w:line="276" w:lineRule="auto"/>
        <w:ind w:left="425" w:firstLine="0"/>
        <w:jc w:val="both"/>
        <w:rPr>
          <w:rFonts w:ascii="Arial" w:hAnsi="Arial" w:cs="Arial"/>
          <w:color w:val="000000"/>
          <w:sz w:val="20"/>
        </w:rPr>
      </w:pPr>
      <w:r>
        <w:rPr>
          <w:rFonts w:ascii="Arial" w:hAnsi="Arial" w:cs="Arial"/>
          <w:color w:val="000000"/>
          <w:sz w:val="20"/>
        </w:rPr>
        <w:t>Integram este Edital, para todos os fins e efeitos, os seguintes anexos:</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color w:val="000000"/>
          <w:sz w:val="20"/>
          <w:highlight w:val="none"/>
        </w:rPr>
      </w:pPr>
      <w:r>
        <w:rPr>
          <w:rFonts w:ascii="Arial" w:hAnsi="Arial" w:cs="Arial"/>
          <w:color w:val="000000"/>
          <w:sz w:val="20"/>
          <w:highlight w:val="none"/>
        </w:rPr>
        <w:t>ANEXO I – Projeto Básico;</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bCs/>
          <w:i/>
          <w:iCs/>
          <w:color w:val="000000" w:themeColor="text1"/>
          <w:sz w:val="20"/>
          <w:highlight w:val="none"/>
          <w:lang w:val="pt-BR"/>
          <w14:textFill>
            <w14:solidFill>
              <w14:schemeClr w14:val="tx1"/>
            </w14:solidFill>
          </w14:textFill>
        </w:rPr>
        <w:t xml:space="preserve">ANEXO I - A - </w:t>
      </w:r>
      <w:r>
        <w:rPr>
          <w:rFonts w:hint="default" w:ascii="Arial" w:hAnsi="Arial" w:cs="Arial"/>
          <w:sz w:val="20"/>
          <w:szCs w:val="20"/>
          <w:lang w:val="pt-BR"/>
        </w:rPr>
        <w:t>Planilha BDI, Curva ABC e Orçamentos</w:t>
      </w:r>
      <w:r>
        <w:rPr>
          <w:rFonts w:hint="default" w:ascii="Arial" w:hAnsi="Arial" w:cs="Arial"/>
          <w:bCs/>
          <w:i/>
          <w:iCs/>
          <w:color w:val="000000" w:themeColor="text1"/>
          <w:sz w:val="20"/>
          <w:highlight w:val="none"/>
          <w:lang w:val="pt-BR"/>
          <w14:textFill>
            <w14:solidFill>
              <w14:schemeClr w14:val="tx1"/>
            </w14:solidFill>
          </w14:textFill>
        </w:rPr>
        <w:t>;</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bCs/>
          <w:i/>
          <w:iCs/>
          <w:color w:val="000000" w:themeColor="text1"/>
          <w:sz w:val="20"/>
          <w:highlight w:val="none"/>
          <w:lang w:val="pt-BR"/>
          <w14:textFill>
            <w14:solidFill>
              <w14:schemeClr w14:val="tx1"/>
            </w14:solidFill>
          </w14:textFill>
        </w:rPr>
        <w:t>ANEXO I - B - ART Arquitetónica;</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bCs/>
          <w:i/>
          <w:iCs/>
          <w:color w:val="000000" w:themeColor="text1"/>
          <w:sz w:val="20"/>
          <w:highlight w:val="none"/>
          <w:lang w:val="pt-BR"/>
          <w14:textFill>
            <w14:solidFill>
              <w14:schemeClr w14:val="tx1"/>
            </w14:solidFill>
          </w14:textFill>
        </w:rPr>
        <w:t>ANEXO I - C - ART Arquitetónica</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sz w:val="20"/>
          <w:szCs w:val="20"/>
          <w:lang w:val="pt-BR"/>
        </w:rPr>
        <w:t xml:space="preserve">ANEXO I - D - </w:t>
      </w:r>
      <w:r>
        <w:rPr>
          <w:rFonts w:hint="default" w:ascii="Arial" w:hAnsi="Arial" w:cs="Arial"/>
          <w:bCs/>
          <w:i/>
          <w:iCs/>
          <w:color w:val="000000" w:themeColor="text1"/>
          <w:sz w:val="20"/>
          <w:highlight w:val="none"/>
          <w:lang w:val="pt-BR"/>
          <w14:textFill>
            <w14:solidFill>
              <w14:schemeClr w14:val="tx1"/>
            </w14:solidFill>
          </w14:textFill>
        </w:rPr>
        <w:t>ART Arquitetónica</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sz w:val="20"/>
          <w:szCs w:val="20"/>
          <w:lang w:val="pt-BR"/>
        </w:rPr>
        <w:t xml:space="preserve">ANEXO I - E - </w:t>
      </w:r>
      <w:r>
        <w:rPr>
          <w:rFonts w:hint="default" w:ascii="Arial" w:hAnsi="Arial"/>
          <w:sz w:val="20"/>
          <w:szCs w:val="20"/>
          <w:lang w:val="pt-BR"/>
        </w:rPr>
        <w:t xml:space="preserve">Especificação técnica da construção parte I </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sz w:val="20"/>
          <w:szCs w:val="20"/>
          <w:lang w:val="pt-BR"/>
        </w:rPr>
        <w:t xml:space="preserve">ANEXO I - F - </w:t>
      </w:r>
      <w:r>
        <w:rPr>
          <w:rFonts w:hint="default" w:ascii="Arial" w:hAnsi="Arial"/>
          <w:sz w:val="20"/>
          <w:szCs w:val="20"/>
          <w:lang w:val="pt-BR"/>
        </w:rPr>
        <w:t xml:space="preserve">Especificação técnica da construção parte II </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sz w:val="20"/>
          <w:szCs w:val="20"/>
          <w:lang w:val="pt-BR"/>
        </w:rPr>
        <w:t xml:space="preserve">ANEXO I - G - </w:t>
      </w:r>
      <w:r>
        <w:rPr>
          <w:rFonts w:hint="default" w:ascii="Arial" w:hAnsi="Arial"/>
          <w:sz w:val="20"/>
          <w:szCs w:val="20"/>
          <w:lang w:val="pt-BR"/>
        </w:rPr>
        <w:t>Especificação técnica da construção parte III</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sz w:val="20"/>
          <w:szCs w:val="20"/>
          <w:lang w:val="pt-BR"/>
        </w:rPr>
        <w:t xml:space="preserve">ANEXO I - H - </w:t>
      </w:r>
      <w:r>
        <w:rPr>
          <w:rFonts w:ascii="Arial" w:hAnsi="Arial" w:cs="Arial"/>
          <w:sz w:val="20"/>
          <w:szCs w:val="20"/>
          <w:highlight w:val="none"/>
        </w:rPr>
        <w:t>Estudos Técnicos Preliminares</w:t>
      </w:r>
    </w:p>
    <w:p>
      <w:pPr>
        <w:numPr>
          <w:ilvl w:val="3"/>
          <w:numId w:val="20"/>
        </w:numPr>
        <w:shd w:val="clear" w:fill="FFFFFF" w:themeFill="background1"/>
        <w:tabs>
          <w:tab w:val="left" w:pos="2268"/>
        </w:tabs>
        <w:spacing w:before="120" w:after="120" w:line="276" w:lineRule="auto"/>
        <w:ind w:left="2160" w:leftChars="0" w:firstLine="0" w:firstLineChars="0"/>
        <w:jc w:val="both"/>
        <w:rPr>
          <w:rFonts w:ascii="Arial" w:hAnsi="Arial" w:cs="Arial"/>
          <w:sz w:val="20"/>
          <w:szCs w:val="20"/>
        </w:rPr>
      </w:pPr>
      <w:r>
        <w:rPr>
          <w:rFonts w:hint="default" w:ascii="Arial" w:hAnsi="Arial" w:cs="Arial"/>
          <w:sz w:val="20"/>
          <w:szCs w:val="20"/>
          <w:highlight w:val="none"/>
          <w:lang w:val="pt-BR"/>
        </w:rPr>
        <w:t xml:space="preserve">ANEXO I - I - </w:t>
      </w:r>
      <w:r>
        <w:rPr>
          <w:rFonts w:hint="default" w:ascii="Arial" w:hAnsi="Arial"/>
          <w:sz w:val="20"/>
          <w:szCs w:val="20"/>
        </w:rPr>
        <w:t xml:space="preserve"> Memorial Descritivo e Normas Técnicas de Arquitetura</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sz w:val="20"/>
          <w:highlight w:val="none"/>
        </w:rPr>
      </w:pPr>
      <w:r>
        <w:rPr>
          <w:rFonts w:ascii="Arial" w:hAnsi="Arial" w:cs="Arial"/>
          <w:sz w:val="20"/>
          <w:highlight w:val="none"/>
        </w:rPr>
        <w:t xml:space="preserve">ANEXO II – Minuta de Termo de Contrato; </w:t>
      </w:r>
    </w:p>
    <w:p>
      <w:pPr>
        <w:numPr>
          <w:ilvl w:val="1"/>
          <w:numId w:val="20"/>
        </w:numPr>
        <w:shd w:val="clear" w:fill="FFFFFF" w:themeFill="background1"/>
        <w:tabs>
          <w:tab w:val="left" w:pos="2268"/>
        </w:tabs>
        <w:spacing w:before="120" w:after="120" w:line="276" w:lineRule="auto"/>
        <w:ind w:left="714" w:leftChars="0" w:firstLine="0"/>
        <w:jc w:val="both"/>
        <w:rPr>
          <w:rFonts w:ascii="Arial" w:hAnsi="Arial" w:cs="Arial"/>
          <w:sz w:val="20"/>
          <w:highlight w:val="none"/>
        </w:rPr>
      </w:pPr>
    </w:p>
    <w:p>
      <w:pPr>
        <w:numPr>
          <w:ilvl w:val="2"/>
          <w:numId w:val="20"/>
        </w:numPr>
        <w:shd w:val="clear" w:fill="FFFFFF" w:themeFill="background1"/>
        <w:tabs>
          <w:tab w:val="left" w:pos="2268"/>
        </w:tabs>
        <w:spacing w:before="120" w:after="120" w:line="276" w:lineRule="auto"/>
        <w:ind w:left="1134" w:firstLine="0"/>
        <w:jc w:val="both"/>
        <w:rPr>
          <w:rFonts w:ascii="Arial" w:hAnsi="Arial" w:cs="Arial"/>
          <w:sz w:val="20"/>
          <w:highlight w:val="none"/>
        </w:rPr>
      </w:pPr>
      <w:r>
        <w:rPr>
          <w:rFonts w:hint="default" w:ascii="Arial" w:hAnsi="Arial" w:cs="Arial"/>
          <w:sz w:val="20"/>
          <w:highlight w:val="none"/>
          <w:lang w:val="pt-BR"/>
        </w:rPr>
        <w:t>ANEXO III - Modelo da Proposta;</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bCs/>
          <w:iCs/>
          <w:color w:val="000000"/>
          <w:sz w:val="20"/>
          <w:highlight w:val="none"/>
        </w:rPr>
      </w:pPr>
      <w:r>
        <w:rPr>
          <w:rFonts w:ascii="Arial" w:hAnsi="Arial" w:cs="Arial"/>
          <w:bCs/>
          <w:iCs/>
          <w:color w:val="000000"/>
          <w:sz w:val="20"/>
          <w:highlight w:val="none"/>
        </w:rPr>
        <w:t>ANEXO I</w:t>
      </w:r>
      <w:r>
        <w:rPr>
          <w:rFonts w:hint="default" w:ascii="Arial" w:hAnsi="Arial" w:cs="Arial"/>
          <w:bCs/>
          <w:iCs/>
          <w:color w:val="000000"/>
          <w:sz w:val="20"/>
          <w:highlight w:val="none"/>
          <w:lang w:val="pt-BR"/>
        </w:rPr>
        <w:t>V</w:t>
      </w:r>
      <w:r>
        <w:rPr>
          <w:rFonts w:ascii="Arial" w:hAnsi="Arial" w:cs="Arial"/>
          <w:bCs/>
          <w:iCs/>
          <w:color w:val="000000"/>
          <w:sz w:val="20"/>
          <w:highlight w:val="none"/>
        </w:rPr>
        <w:t xml:space="preserve"> – Modelo de Planilha de Custos e Formação de Preços;</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bCs/>
          <w:iCs/>
          <w:color w:val="000000"/>
          <w:sz w:val="20"/>
          <w:highlight w:val="none"/>
        </w:rPr>
      </w:pPr>
      <w:r>
        <w:rPr>
          <w:rFonts w:hint="default" w:ascii="Arial" w:hAnsi="Arial" w:cs="Arial"/>
          <w:bCs/>
          <w:iCs/>
          <w:color w:val="000000"/>
          <w:sz w:val="20"/>
          <w:highlight w:val="none"/>
          <w:lang w:val="pt-BR"/>
        </w:rPr>
        <w:t>ANEXO V - Planilha de Custos Unitários;</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iCs/>
          <w:color w:val="000000"/>
          <w:sz w:val="20"/>
          <w:highlight w:val="none"/>
        </w:rPr>
      </w:pPr>
      <w:r>
        <w:rPr>
          <w:rFonts w:ascii="Arial" w:hAnsi="Arial" w:cs="Arial"/>
          <w:iCs/>
          <w:color w:val="000000"/>
          <w:sz w:val="20"/>
          <w:highlight w:val="none"/>
        </w:rPr>
        <w:t xml:space="preserve">ANEXO </w:t>
      </w:r>
      <w:r>
        <w:rPr>
          <w:rFonts w:hint="default" w:ascii="Arial" w:hAnsi="Arial" w:cs="Arial"/>
          <w:iCs/>
          <w:color w:val="000000"/>
          <w:sz w:val="20"/>
          <w:highlight w:val="none"/>
          <w:lang w:val="pt-BR"/>
        </w:rPr>
        <w:t>VI</w:t>
      </w:r>
      <w:r>
        <w:rPr>
          <w:rFonts w:ascii="Arial" w:hAnsi="Arial" w:cs="Arial"/>
          <w:iCs/>
          <w:color w:val="000000"/>
          <w:sz w:val="20"/>
          <w:highlight w:val="none"/>
        </w:rPr>
        <w:t xml:space="preserve"> – Modelo de Composição do BDI;</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iCs/>
          <w:color w:val="000000"/>
          <w:sz w:val="20"/>
          <w:highlight w:val="none"/>
        </w:rPr>
      </w:pPr>
      <w:r>
        <w:rPr>
          <w:rFonts w:ascii="Arial" w:hAnsi="Arial" w:cs="Arial"/>
          <w:iCs/>
          <w:color w:val="000000"/>
          <w:sz w:val="20"/>
          <w:highlight w:val="none"/>
        </w:rPr>
        <w:t>ANEXO V</w:t>
      </w:r>
      <w:r>
        <w:rPr>
          <w:rFonts w:hint="default" w:ascii="Arial" w:hAnsi="Arial" w:cs="Arial"/>
          <w:iCs/>
          <w:color w:val="000000"/>
          <w:sz w:val="20"/>
          <w:highlight w:val="none"/>
          <w:lang w:val="pt-BR"/>
        </w:rPr>
        <w:t>II</w:t>
      </w:r>
      <w:r>
        <w:rPr>
          <w:rFonts w:ascii="Arial" w:hAnsi="Arial" w:cs="Arial"/>
          <w:iCs/>
          <w:color w:val="000000"/>
          <w:sz w:val="20"/>
          <w:highlight w:val="none"/>
        </w:rPr>
        <w:t xml:space="preserve"> – Modelo de Cronograma físico-financeiro;</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iCs/>
          <w:color w:val="000000"/>
          <w:sz w:val="20"/>
          <w:highlight w:val="none"/>
        </w:rPr>
      </w:pPr>
      <w:r>
        <w:rPr>
          <w:rFonts w:hint="default" w:ascii="Arial" w:hAnsi="Arial" w:cs="Arial"/>
          <w:iCs/>
          <w:color w:val="000000"/>
          <w:sz w:val="20"/>
          <w:highlight w:val="none"/>
          <w:lang w:val="pt-BR"/>
        </w:rPr>
        <w:t xml:space="preserve"> ANEXO VIII - Planilha de Encargos Sociais;</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sz w:val="20"/>
          <w:highlight w:val="none"/>
        </w:rPr>
      </w:pPr>
      <w:r>
        <w:rPr>
          <w:rFonts w:hint="default" w:ascii="Arial" w:hAnsi="Arial" w:cs="Arial"/>
          <w:iCs/>
          <w:color w:val="000000"/>
          <w:sz w:val="20"/>
          <w:highlight w:val="none"/>
          <w:lang w:val="pt-BR"/>
        </w:rPr>
        <w:t>ANEXO IX - Arquivos Digitais;</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iCs/>
          <w:color w:val="000000"/>
          <w:sz w:val="20"/>
          <w:highlight w:val="none"/>
        </w:rPr>
      </w:pPr>
      <w:r>
        <w:rPr>
          <w:rFonts w:ascii="Arial" w:hAnsi="Arial" w:cs="Arial"/>
          <w:color w:val="000000" w:themeColor="text1"/>
          <w:sz w:val="20"/>
          <w:highlight w:val="none"/>
          <w14:textFill>
            <w14:solidFill>
              <w14:schemeClr w14:val="tx1"/>
            </w14:solidFill>
          </w14:textFill>
        </w:rPr>
        <w:t>ANEXO X – Modelos de declaração de elaboração independente de proposta;</w:t>
      </w:r>
    </w:p>
    <w:p>
      <w:pPr>
        <w:numPr>
          <w:ilvl w:val="2"/>
          <w:numId w:val="20"/>
        </w:numPr>
        <w:shd w:val="clear" w:fill="FFFFFF" w:themeFill="background1"/>
        <w:tabs>
          <w:tab w:val="left" w:pos="2268"/>
        </w:tabs>
        <w:spacing w:before="120" w:after="120" w:line="276" w:lineRule="auto"/>
        <w:ind w:left="1134" w:firstLine="0"/>
        <w:jc w:val="both"/>
        <w:rPr>
          <w:rFonts w:ascii="Arial" w:hAnsi="Arial" w:cs="Arial"/>
          <w:sz w:val="20"/>
          <w:highlight w:val="none"/>
        </w:rPr>
      </w:pPr>
      <w:r>
        <w:rPr>
          <w:rFonts w:hint="default" w:ascii="Arial" w:hAnsi="Arial" w:cs="Arial"/>
          <w:color w:val="000000" w:themeColor="text1"/>
          <w:sz w:val="20"/>
          <w:highlight w:val="none"/>
          <w:lang w:val="pt-BR"/>
          <w14:textFill>
            <w14:solidFill>
              <w14:schemeClr w14:val="tx1"/>
            </w14:solidFill>
          </w14:textFill>
        </w:rPr>
        <w:t xml:space="preserve">ANEXO XI - </w:t>
      </w:r>
      <w:r>
        <w:rPr>
          <w:rFonts w:hint="default" w:ascii="Arial" w:hAnsi="Arial"/>
          <w:color w:val="000000" w:themeColor="text1"/>
          <w:sz w:val="20"/>
          <w:highlight w:val="none"/>
          <w:lang w:val="pt-BR"/>
          <w14:textFill>
            <w14:solidFill>
              <w14:schemeClr w14:val="tx1"/>
            </w14:solidFill>
          </w14:textFill>
        </w:rPr>
        <w:t xml:space="preserve">Modelo de Declaração de Cumprimento ao Inciso XXXIII </w:t>
      </w:r>
      <w:r>
        <w:rPr>
          <w:rFonts w:ascii="Arial" w:hAnsi="Arial" w:cs="Arial"/>
          <w:sz w:val="20"/>
          <w:highlight w:val="none"/>
        </w:rPr>
        <w:t>do art. 7º, da Constituição Federal;</w:t>
      </w:r>
    </w:p>
    <w:p>
      <w:pPr>
        <w:pStyle w:val="38"/>
        <w:numPr>
          <w:ilvl w:val="2"/>
          <w:numId w:val="20"/>
        </w:numPr>
        <w:shd w:val="clear" w:fill="FFFFFF" w:themeFill="background1"/>
        <w:tabs>
          <w:tab w:val="left" w:pos="2268"/>
        </w:tabs>
        <w:ind w:left="1134" w:firstLine="0"/>
        <w:rPr>
          <w:rFonts w:ascii="Arial" w:hAnsi="Arial" w:cs="Arial"/>
          <w:sz w:val="20"/>
          <w:highlight w:val="none"/>
        </w:rPr>
      </w:pPr>
      <w:r>
        <w:rPr>
          <w:rFonts w:hint="default" w:ascii="Arial" w:hAnsi="Arial" w:cs="Arial"/>
          <w:sz w:val="20"/>
          <w:highlight w:val="none"/>
          <w:lang w:val="pt-BR"/>
        </w:rPr>
        <w:t xml:space="preserve">ANEXO XII - </w:t>
      </w:r>
      <w:r>
        <w:rPr>
          <w:rFonts w:ascii="Arial" w:hAnsi="Arial"/>
          <w:highlight w:val="none"/>
        </w:rPr>
        <w:t xml:space="preserve"> Modelo de declaração de inexistência de fato superveniente impeditivo da habilitação;</w:t>
      </w:r>
    </w:p>
    <w:p>
      <w:pPr>
        <w:pStyle w:val="38"/>
        <w:numPr>
          <w:ilvl w:val="2"/>
          <w:numId w:val="20"/>
        </w:numPr>
        <w:shd w:val="clear" w:fill="FFFFFF" w:themeFill="background1"/>
        <w:tabs>
          <w:tab w:val="left" w:pos="2268"/>
        </w:tabs>
        <w:ind w:left="1134" w:firstLine="0"/>
        <w:rPr>
          <w:rFonts w:ascii="Arial" w:hAnsi="Arial"/>
          <w:highlight w:val="none"/>
        </w:rPr>
      </w:pPr>
      <w:r>
        <w:rPr>
          <w:rFonts w:ascii="Arial" w:hAnsi="Arial"/>
          <w:highlight w:val="none"/>
        </w:rPr>
        <w:t>ANEXO XI</w:t>
      </w:r>
      <w:r>
        <w:rPr>
          <w:rFonts w:hint="default" w:ascii="Arial" w:hAnsi="Arial"/>
          <w:highlight w:val="none"/>
          <w:lang w:val="pt-BR"/>
        </w:rPr>
        <w:t>II</w:t>
      </w:r>
      <w:r>
        <w:rPr>
          <w:rFonts w:ascii="Arial" w:hAnsi="Arial"/>
          <w:highlight w:val="none"/>
        </w:rPr>
        <w:t xml:space="preserve"> - Modelo de declaração de microempresa, de empresa de pequeno porte, ou de cooperativa enquadrada no artigo 34 da Lei n° 11.488, de 2007;</w:t>
      </w:r>
    </w:p>
    <w:p>
      <w:pPr>
        <w:pStyle w:val="38"/>
        <w:numPr>
          <w:ilvl w:val="2"/>
          <w:numId w:val="20"/>
        </w:numPr>
        <w:shd w:val="clear" w:fill="FFFFFF" w:themeFill="background1"/>
        <w:tabs>
          <w:tab w:val="left" w:pos="2268"/>
        </w:tabs>
        <w:ind w:left="1134" w:firstLine="0"/>
        <w:rPr>
          <w:rFonts w:ascii="Arial" w:hAnsi="Arial"/>
          <w:color w:val="auto"/>
          <w:highlight w:val="none"/>
        </w:rPr>
      </w:pPr>
      <w:r>
        <w:rPr>
          <w:rFonts w:ascii="Arial" w:hAnsi="Arial" w:cs="Arial"/>
          <w:i/>
          <w:color w:val="auto"/>
          <w:sz w:val="20"/>
          <w:highlight w:val="none"/>
        </w:rPr>
        <w:t>ANEXO</w:t>
      </w:r>
      <w:r>
        <w:rPr>
          <w:rFonts w:hint="default" w:ascii="Arial" w:hAnsi="Arial" w:cs="Arial"/>
          <w:i/>
          <w:color w:val="auto"/>
          <w:sz w:val="20"/>
          <w:highlight w:val="none"/>
          <w:lang w:val="pt-BR"/>
        </w:rPr>
        <w:t xml:space="preserve"> XIV</w:t>
      </w:r>
      <w:r>
        <w:rPr>
          <w:rFonts w:ascii="Arial" w:hAnsi="Arial" w:cs="Arial"/>
          <w:i/>
          <w:color w:val="auto"/>
          <w:sz w:val="20"/>
          <w:highlight w:val="none"/>
        </w:rPr>
        <w:t xml:space="preserve"> – Modelo de Atestado de Vistoria</w:t>
      </w:r>
      <w:r>
        <w:rPr>
          <w:rFonts w:hint="default" w:ascii="Arial" w:hAnsi="Arial" w:cs="Arial"/>
          <w:i/>
          <w:color w:val="auto"/>
          <w:sz w:val="20"/>
          <w:highlight w:val="none"/>
          <w:lang w:val="pt-BR"/>
        </w:rPr>
        <w:t>;</w:t>
      </w:r>
    </w:p>
    <w:p>
      <w:pPr>
        <w:pStyle w:val="38"/>
        <w:numPr>
          <w:ilvl w:val="2"/>
          <w:numId w:val="20"/>
        </w:numPr>
        <w:shd w:val="clear" w:fill="FFFFFF" w:themeFill="background1"/>
        <w:tabs>
          <w:tab w:val="left" w:pos="2268"/>
        </w:tabs>
        <w:ind w:left="1134" w:firstLine="0"/>
        <w:rPr>
          <w:rFonts w:ascii="Arial" w:hAnsi="Arial"/>
          <w:i/>
          <w:color w:val="auto"/>
          <w:highlight w:val="none"/>
        </w:rPr>
      </w:pPr>
      <w:r>
        <w:rPr>
          <w:rFonts w:ascii="Arial" w:hAnsi="Arial"/>
          <w:i/>
          <w:color w:val="auto"/>
          <w:highlight w:val="none"/>
        </w:rPr>
        <w:t>ANEXO X</w:t>
      </w:r>
      <w:r>
        <w:rPr>
          <w:rFonts w:hint="default" w:ascii="Arial" w:hAnsi="Arial"/>
          <w:i/>
          <w:color w:val="auto"/>
          <w:highlight w:val="none"/>
          <w:lang w:val="pt-BR"/>
        </w:rPr>
        <w:t>V</w:t>
      </w:r>
      <w:r>
        <w:rPr>
          <w:rFonts w:ascii="Arial" w:hAnsi="Arial"/>
          <w:i/>
          <w:color w:val="auto"/>
          <w:highlight w:val="none"/>
        </w:rPr>
        <w:t xml:space="preserve">  – </w:t>
      </w:r>
      <w:r>
        <w:rPr>
          <w:rFonts w:hint="default" w:ascii="Arial" w:hAnsi="Arial"/>
          <w:i/>
          <w:color w:val="auto"/>
          <w:highlight w:val="none"/>
          <w:lang w:val="pt-BR"/>
        </w:rPr>
        <w:t>Instrumento de Medição de Resultados - IMR.</w:t>
      </w:r>
    </w:p>
    <w:p>
      <w:pPr>
        <w:spacing w:after="120" w:line="276" w:lineRule="auto"/>
        <w:ind w:left="360" w:right="-15"/>
        <w:rPr>
          <w:rFonts w:ascii="Arial" w:hAnsi="Arial" w:cs="Arial"/>
          <w:color w:val="000000"/>
          <w:sz w:val="20"/>
        </w:rPr>
      </w:pPr>
    </w:p>
    <w:p>
      <w:pPr>
        <w:spacing w:after="120" w:line="276" w:lineRule="auto"/>
        <w:ind w:left="360" w:right="-15"/>
        <w:jc w:val="right"/>
        <w:rPr>
          <w:rFonts w:ascii="Arial" w:hAnsi="Arial" w:cs="Arial"/>
          <w:color w:val="000000"/>
          <w:sz w:val="20"/>
        </w:rPr>
      </w:pPr>
      <w:r>
        <w:rPr>
          <w:rFonts w:hint="default" w:ascii="Arial" w:hAnsi="Arial" w:cs="Arial"/>
          <w:color w:val="000000"/>
          <w:sz w:val="20"/>
          <w:lang w:val="pt-BR"/>
        </w:rPr>
        <w:t>Confresa/MT, 16 de Novembro de 2020</w:t>
      </w:r>
      <w:r>
        <w:rPr>
          <w:rFonts w:ascii="Arial" w:hAnsi="Arial" w:cs="Arial"/>
          <w:color w:val="000000"/>
          <w:sz w:val="20"/>
        </w:rPr>
        <w:t>.</w:t>
      </w:r>
    </w:p>
    <w:p>
      <w:pPr>
        <w:spacing w:after="120" w:line="276" w:lineRule="auto"/>
        <w:ind w:left="360" w:right="-15"/>
        <w:jc w:val="right"/>
        <w:rPr>
          <w:rFonts w:ascii="Arial" w:hAnsi="Arial" w:cs="Arial"/>
          <w:color w:val="000000"/>
          <w:sz w:val="20"/>
        </w:rPr>
      </w:pPr>
    </w:p>
    <w:p>
      <w:pPr>
        <w:spacing w:after="120" w:line="276" w:lineRule="auto"/>
        <w:jc w:val="both"/>
        <w:rPr>
          <w:rFonts w:hint="default" w:ascii="Arial" w:hAnsi="Arial" w:cs="Arial"/>
          <w:b w:val="0"/>
          <w:bCs w:val="0"/>
          <w:iCs/>
          <w:color w:val="000000"/>
          <w:sz w:val="20"/>
          <w:lang w:val="pt-BR"/>
        </w:rPr>
      </w:pPr>
      <w:r>
        <w:rPr>
          <w:rFonts w:hint="default" w:ascii="Arial" w:hAnsi="Arial" w:cs="Arial"/>
          <w:b w:val="0"/>
          <w:bCs w:val="0"/>
          <w:iCs/>
          <w:color w:val="000000"/>
          <w:sz w:val="20"/>
          <w:lang w:val="pt-BR"/>
        </w:rPr>
        <w:t>Edital Elaborado pela comissão designada na Portaria/91/2020-CFS-GAB/CFS-DG/CCONF/RTR/IFMT, de 20 de agosto de 2020.</w:t>
      </w:r>
    </w:p>
    <w:p>
      <w:pPr>
        <w:spacing w:after="120" w:line="276" w:lineRule="auto"/>
        <w:jc w:val="both"/>
        <w:rPr>
          <w:rFonts w:hint="default" w:ascii="Arial" w:hAnsi="Arial" w:cs="Arial"/>
          <w:b/>
          <w:bCs/>
          <w:iCs/>
          <w:color w:val="000000"/>
          <w:sz w:val="20"/>
          <w:lang w:val="pt-BR"/>
        </w:rPr>
      </w:pPr>
    </w:p>
    <w:p>
      <w:pPr>
        <w:spacing w:after="120" w:line="276" w:lineRule="auto"/>
        <w:jc w:val="both"/>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Enaldo Soares Cabral</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Presidente da Comissão</w:t>
      </w:r>
      <w:bookmarkStart w:id="2" w:name="_GoBack"/>
      <w:bookmarkEnd w:id="2"/>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Jonas Santos de Araújo</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Membro da Comissão</w:t>
      </w: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Paulo Rogério Soares Coelho</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Membro da Comissão</w:t>
      </w: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Pedro Henrique Freire Cardoso</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Membro da Comissão</w:t>
      </w:r>
    </w:p>
    <w:p>
      <w:pPr>
        <w:spacing w:after="120" w:line="276" w:lineRule="auto"/>
        <w:jc w:val="both"/>
        <w:rPr>
          <w:rFonts w:hint="default" w:ascii="Arial" w:hAnsi="Arial" w:cs="Arial"/>
          <w:b/>
          <w:bCs/>
          <w:iCs/>
          <w:color w:val="000000"/>
          <w:sz w:val="20"/>
          <w:lang w:val="pt-BR"/>
        </w:rPr>
      </w:pPr>
    </w:p>
    <w:p>
      <w:pPr>
        <w:spacing w:after="120" w:line="276" w:lineRule="auto"/>
        <w:jc w:val="both"/>
        <w:rPr>
          <w:rFonts w:hint="default" w:ascii="Arial" w:hAnsi="Arial" w:cs="Arial"/>
          <w:b w:val="0"/>
          <w:bCs w:val="0"/>
          <w:iCs/>
          <w:color w:val="000000"/>
          <w:sz w:val="20"/>
          <w:lang w:val="pt-BR"/>
        </w:rPr>
      </w:pPr>
    </w:p>
    <w:p>
      <w:pPr>
        <w:spacing w:after="120" w:line="276" w:lineRule="auto"/>
        <w:jc w:val="both"/>
        <w:rPr>
          <w:rFonts w:hint="default" w:ascii="Arial" w:hAnsi="Arial" w:cs="Arial"/>
          <w:b w:val="0"/>
          <w:bCs w:val="0"/>
          <w:iCs/>
          <w:color w:val="000000"/>
          <w:sz w:val="20"/>
          <w:lang w:val="pt-BR"/>
        </w:rPr>
      </w:pPr>
      <w:r>
        <w:rPr>
          <w:rFonts w:hint="default" w:ascii="Arial" w:hAnsi="Arial" w:cs="Arial"/>
          <w:b w:val="0"/>
          <w:bCs w:val="0"/>
          <w:iCs/>
          <w:color w:val="000000"/>
          <w:sz w:val="20"/>
          <w:lang w:val="pt-BR"/>
        </w:rPr>
        <w:t>Aprovação do Diretor Geral</w:t>
      </w:r>
    </w:p>
    <w:p>
      <w:pPr>
        <w:spacing w:after="120" w:line="276" w:lineRule="auto"/>
        <w:jc w:val="both"/>
        <w:rPr>
          <w:rFonts w:hint="default" w:ascii="Arial" w:hAnsi="Arial" w:cs="Arial"/>
          <w:b/>
          <w:bCs/>
          <w:iCs/>
          <w:color w:val="000000"/>
          <w:sz w:val="20"/>
          <w:lang w:val="pt-BR"/>
        </w:rPr>
      </w:pPr>
    </w:p>
    <w:p>
      <w:pPr>
        <w:spacing w:after="120" w:line="276" w:lineRule="auto"/>
        <w:jc w:val="both"/>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Giliard Brito de Freitas</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Diretor Geral</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IFMT Campus Confresa</w:t>
      </w:r>
    </w:p>
    <w:p>
      <w:pPr>
        <w:spacing w:after="120" w:line="276" w:lineRule="auto"/>
        <w:jc w:val="center"/>
        <w:rPr>
          <w:rFonts w:ascii="Arial" w:hAnsi="Arial" w:cs="Arial"/>
          <w:b/>
          <w:bCs/>
          <w:iCs/>
          <w:color w:val="000000"/>
          <w:sz w:val="20"/>
        </w:rPr>
      </w:pPr>
    </w:p>
    <w:p>
      <w:pPr>
        <w:spacing w:after="120" w:line="276" w:lineRule="auto"/>
        <w:jc w:val="center"/>
        <w:rPr>
          <w:rFonts w:ascii="Arial" w:hAnsi="Arial" w:cs="Arial"/>
          <w:sz w:val="20"/>
        </w:rPr>
      </w:pPr>
    </w:p>
    <w:sectPr>
      <w:footerReference r:id="rId3" w:type="default"/>
      <w:pgSz w:w="11906" w:h="16838"/>
      <w:pgMar w:top="1418" w:right="1134"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Ecofont_Spranq_eco_Sans">
    <w:altName w:val="Calibri"/>
    <w:panose1 w:val="00000000000000000000"/>
    <w:charset w:val="00"/>
    <w:family w:val="swiss"/>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______________________________________________________________</w:t>
    </w:r>
  </w:p>
  <w:p>
    <w:pPr>
      <w:pStyle w:val="11"/>
      <w:rPr>
        <w:rFonts w:ascii="Arial" w:hAnsi="Arial" w:cs="Arial"/>
        <w:sz w:val="12"/>
      </w:rPr>
    </w:pPr>
    <w:r>
      <w:rPr>
        <w:rFonts w:ascii="Arial" w:hAnsi="Arial" w:cs="Arial"/>
        <w:sz w:val="12"/>
      </w:rPr>
      <w:t>Câmara Nacional de Modelos de Licitações e Contratos da Consultoria-Geral da União</w:t>
    </w:r>
  </w:p>
  <w:p>
    <w:pPr>
      <w:pStyle w:val="11"/>
      <w:rPr>
        <w:rFonts w:ascii="Arial" w:hAnsi="Arial" w:cs="Arial"/>
        <w:sz w:val="12"/>
      </w:rPr>
    </w:pPr>
    <w:r>
      <w:rPr>
        <w:rFonts w:ascii="Arial" w:hAnsi="Arial" w:cs="Arial"/>
        <w:sz w:val="12"/>
      </w:rPr>
      <w:t>Edital modelo para Tomada de Preços: obra/serviço de engenharia, habilitação completa e ampla participação</w:t>
    </w:r>
  </w:p>
  <w:p>
    <w:pPr>
      <w:pStyle w:val="11"/>
      <w:rPr>
        <w:rFonts w:ascii="Arial" w:hAnsi="Arial" w:cs="Arial"/>
      </w:rPr>
    </w:pPr>
    <w:r>
      <w:rPr>
        <w:rFonts w:ascii="Arial" w:hAnsi="Arial" w:cs="Arial"/>
        <w:sz w:val="12"/>
      </w:rPr>
      <w:t>Atualização: Julho/2020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1073"/>
    <w:multiLevelType w:val="multilevel"/>
    <w:tmpl w:val="01211073"/>
    <w:lvl w:ilvl="0" w:tentative="0">
      <w:start w:val="18"/>
      <w:numFmt w:val="decimal"/>
      <w:lvlText w:val="%1."/>
      <w:lvlJc w:val="left"/>
      <w:pPr>
        <w:ind w:left="480" w:hanging="480"/>
      </w:pPr>
      <w:rPr>
        <w:rFonts w:hint="default"/>
      </w:rPr>
    </w:lvl>
    <w:lvl w:ilvl="1" w:tentative="0">
      <w:start w:val="1"/>
      <w:numFmt w:val="decimal"/>
      <w:lvlText w:val="%1.%2."/>
      <w:lvlJc w:val="left"/>
      <w:pPr>
        <w:ind w:left="1571"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040" w:hanging="2160"/>
      </w:pPr>
      <w:rPr>
        <w:rFonts w:hint="default"/>
      </w:rPr>
    </w:lvl>
  </w:abstractNum>
  <w:abstractNum w:abstractNumId="1">
    <w:nsid w:val="0A8B1B9C"/>
    <w:multiLevelType w:val="multilevel"/>
    <w:tmpl w:val="0A8B1B9C"/>
    <w:lvl w:ilvl="0" w:tentative="0">
      <w:start w:val="18"/>
      <w:numFmt w:val="decimal"/>
      <w:lvlText w:val="%1."/>
      <w:lvlJc w:val="left"/>
      <w:pPr>
        <w:ind w:left="600" w:hanging="600"/>
      </w:pPr>
      <w:rPr>
        <w:rFonts w:hint="default"/>
      </w:rPr>
    </w:lvl>
    <w:lvl w:ilvl="1" w:tentative="0">
      <w:start w:val="3"/>
      <w:numFmt w:val="decimal"/>
      <w:lvlText w:val="%1.%2."/>
      <w:lvlJc w:val="left"/>
      <w:pPr>
        <w:ind w:left="1320" w:hanging="600"/>
      </w:pPr>
      <w:rPr>
        <w:rFonts w:hint="default"/>
      </w:rPr>
    </w:lvl>
    <w:lvl w:ilvl="2" w:tentative="0">
      <w:start w:val="2"/>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2">
    <w:nsid w:val="103B6994"/>
    <w:multiLevelType w:val="multilevel"/>
    <w:tmpl w:val="103B6994"/>
    <w:lvl w:ilvl="0" w:tentative="0">
      <w:start w:val="7"/>
      <w:numFmt w:val="decimal"/>
      <w:lvlText w:val="%1."/>
      <w:lvlJc w:val="left"/>
      <w:pPr>
        <w:ind w:left="500" w:hanging="500"/>
      </w:pPr>
      <w:rPr>
        <w:rFonts w:hint="default"/>
      </w:rPr>
    </w:lvl>
    <w:lvl w:ilvl="1" w:tentative="0">
      <w:start w:val="3"/>
      <w:numFmt w:val="decimal"/>
      <w:lvlText w:val="%1.%2."/>
      <w:lvlJc w:val="left"/>
      <w:pPr>
        <w:ind w:left="854" w:hanging="50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3130"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3">
    <w:nsid w:val="1D5C100D"/>
    <w:multiLevelType w:val="multilevel"/>
    <w:tmpl w:val="1D5C100D"/>
    <w:lvl w:ilvl="0" w:tentative="0">
      <w:start w:val="1"/>
      <w:numFmt w:val="decimal"/>
      <w:pStyle w:val="53"/>
      <w:lvlText w:val="%1."/>
      <w:lvlJc w:val="left"/>
      <w:pPr>
        <w:ind w:left="360" w:hanging="360"/>
      </w:pPr>
      <w:rPr>
        <w:b/>
      </w:rPr>
    </w:lvl>
    <w:lvl w:ilvl="1" w:tentative="0">
      <w:start w:val="1"/>
      <w:numFmt w:val="decimal"/>
      <w:lvlText w:val="%1.%2."/>
      <w:lvlJc w:val="left"/>
      <w:pPr>
        <w:ind w:left="716" w:hanging="432"/>
      </w:pPr>
      <w:rPr>
        <w:rFonts w:hint="default" w:ascii="Arial" w:hAnsi="Arial" w:cs="Arial"/>
        <w:b w:val="0"/>
        <w:i w:val="0"/>
        <w:strike w:val="0"/>
        <w:color w:val="auto"/>
        <w:sz w:val="20"/>
        <w:szCs w:val="20"/>
        <w:u w:val="none"/>
      </w:rPr>
    </w:lvl>
    <w:lvl w:ilvl="2" w:tentative="0">
      <w:start w:val="1"/>
      <w:numFmt w:val="decimal"/>
      <w:lvlText w:val="%1.%2.%3."/>
      <w:lvlJc w:val="left"/>
      <w:pPr>
        <w:ind w:left="2205" w:hanging="504"/>
      </w:pPr>
      <w:rPr>
        <w:rFonts w:hint="default" w:ascii="Arial" w:hAnsi="Arial" w:cs="Arial"/>
        <w:b w:val="0"/>
        <w:i w:val="0"/>
        <w:color w:val="auto"/>
        <w:sz w:val="20"/>
        <w:szCs w:val="2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F9955C8"/>
    <w:multiLevelType w:val="multilevel"/>
    <w:tmpl w:val="1F9955C8"/>
    <w:lvl w:ilvl="0" w:tentative="0">
      <w:start w:val="6"/>
      <w:numFmt w:val="decimal"/>
      <w:lvlText w:val="%1."/>
      <w:lvlJc w:val="left"/>
      <w:pPr>
        <w:ind w:left="495" w:hanging="495"/>
      </w:pPr>
      <w:rPr>
        <w:rFonts w:hint="default"/>
      </w:rPr>
    </w:lvl>
    <w:lvl w:ilvl="1" w:tentative="0">
      <w:start w:val="3"/>
      <w:numFmt w:val="decimal"/>
      <w:lvlText w:val="%1.%2."/>
      <w:lvlJc w:val="left"/>
      <w:pPr>
        <w:ind w:left="1467" w:hanging="495"/>
      </w:pPr>
      <w:rPr>
        <w:rFonts w:hint="default"/>
      </w:rPr>
    </w:lvl>
    <w:lvl w:ilvl="2" w:tentative="0">
      <w:start w:val="1"/>
      <w:numFmt w:val="decimal"/>
      <w:lvlText w:val="%1.%2.%3."/>
      <w:lvlJc w:val="left"/>
      <w:pPr>
        <w:ind w:left="2664" w:hanging="720"/>
      </w:pPr>
      <w:rPr>
        <w:rFonts w:hint="default"/>
      </w:rPr>
    </w:lvl>
    <w:lvl w:ilvl="3" w:tentative="0">
      <w:start w:val="1"/>
      <w:numFmt w:val="decimal"/>
      <w:lvlText w:val="%1.%2.%3.%4."/>
      <w:lvlJc w:val="left"/>
      <w:pPr>
        <w:ind w:left="3636" w:hanging="720"/>
      </w:pPr>
      <w:rPr>
        <w:rFonts w:hint="default"/>
      </w:rPr>
    </w:lvl>
    <w:lvl w:ilvl="4" w:tentative="0">
      <w:start w:val="1"/>
      <w:numFmt w:val="decimal"/>
      <w:lvlText w:val="%1.%2.%3.%4.%5."/>
      <w:lvlJc w:val="left"/>
      <w:pPr>
        <w:ind w:left="4968" w:hanging="1080"/>
      </w:pPr>
      <w:rPr>
        <w:rFonts w:hint="default"/>
      </w:rPr>
    </w:lvl>
    <w:lvl w:ilvl="5" w:tentative="0">
      <w:start w:val="1"/>
      <w:numFmt w:val="decimal"/>
      <w:lvlText w:val="%1.%2.%3.%4.%5.%6."/>
      <w:lvlJc w:val="left"/>
      <w:pPr>
        <w:ind w:left="5940" w:hanging="1080"/>
      </w:pPr>
      <w:rPr>
        <w:rFonts w:hint="default"/>
      </w:rPr>
    </w:lvl>
    <w:lvl w:ilvl="6" w:tentative="0">
      <w:start w:val="1"/>
      <w:numFmt w:val="decimal"/>
      <w:lvlText w:val="%1.%2.%3.%4.%5.%6.%7."/>
      <w:lvlJc w:val="left"/>
      <w:pPr>
        <w:ind w:left="7272" w:hanging="1440"/>
      </w:pPr>
      <w:rPr>
        <w:rFonts w:hint="default"/>
      </w:rPr>
    </w:lvl>
    <w:lvl w:ilvl="7" w:tentative="0">
      <w:start w:val="1"/>
      <w:numFmt w:val="decimal"/>
      <w:lvlText w:val="%1.%2.%3.%4.%5.%6.%7.%8."/>
      <w:lvlJc w:val="left"/>
      <w:pPr>
        <w:ind w:left="8244" w:hanging="1440"/>
      </w:pPr>
      <w:rPr>
        <w:rFonts w:hint="default"/>
      </w:rPr>
    </w:lvl>
    <w:lvl w:ilvl="8" w:tentative="0">
      <w:start w:val="1"/>
      <w:numFmt w:val="decimal"/>
      <w:lvlText w:val="%1.%2.%3.%4.%5.%6.%7.%8.%9."/>
      <w:lvlJc w:val="left"/>
      <w:pPr>
        <w:ind w:left="9576" w:hanging="1800"/>
      </w:pPr>
      <w:rPr>
        <w:rFonts w:hint="default"/>
      </w:rPr>
    </w:lvl>
  </w:abstractNum>
  <w:abstractNum w:abstractNumId="5">
    <w:nsid w:val="2367722C"/>
    <w:multiLevelType w:val="multilevel"/>
    <w:tmpl w:val="2367722C"/>
    <w:lvl w:ilvl="0" w:tentative="0">
      <w:start w:val="11"/>
      <w:numFmt w:val="decimal"/>
      <w:lvlText w:val="%1."/>
      <w:lvlJc w:val="left"/>
      <w:pPr>
        <w:ind w:left="0" w:firstLine="0"/>
      </w:pPr>
      <w:rPr>
        <w:rFonts w:hint="default"/>
      </w:rPr>
    </w:lvl>
    <w:lvl w:ilvl="1" w:tentative="0">
      <w:start w:val="1"/>
      <w:numFmt w:val="decimal"/>
      <w:lvlText w:val="%1.%2."/>
      <w:lvlJc w:val="left"/>
      <w:pPr>
        <w:ind w:left="567" w:firstLine="0"/>
      </w:pPr>
      <w:rPr>
        <w:rFonts w:hint="default"/>
      </w:rPr>
    </w:lvl>
    <w:lvl w:ilvl="2" w:tentative="0">
      <w:start w:val="1"/>
      <w:numFmt w:val="decimal"/>
      <w:lvlText w:val="%1.%2.%3."/>
      <w:lvlJc w:val="left"/>
      <w:pPr>
        <w:ind w:left="1134" w:firstLine="0"/>
      </w:pPr>
      <w:rPr>
        <w:rFonts w:hint="default"/>
        <w:b w:val="0"/>
      </w:rPr>
    </w:lvl>
    <w:lvl w:ilvl="3" w:tentative="0">
      <w:start w:val="1"/>
      <w:numFmt w:val="decimal"/>
      <w:lvlText w:val="%1.%2.%3.%4."/>
      <w:lvlJc w:val="left"/>
      <w:pPr>
        <w:ind w:left="1701" w:firstLine="0"/>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25B26967"/>
    <w:multiLevelType w:val="multilevel"/>
    <w:tmpl w:val="25B26967"/>
    <w:lvl w:ilvl="0" w:tentative="0">
      <w:start w:val="7"/>
      <w:numFmt w:val="decimal"/>
      <w:lvlText w:val="%1."/>
      <w:lvlJc w:val="left"/>
      <w:pPr>
        <w:ind w:left="495" w:hanging="495"/>
      </w:pPr>
      <w:rPr>
        <w:rFonts w:hint="default"/>
      </w:rPr>
    </w:lvl>
    <w:lvl w:ilvl="1" w:tentative="0">
      <w:start w:val="4"/>
      <w:numFmt w:val="decimal"/>
      <w:lvlText w:val="%1.%2."/>
      <w:lvlJc w:val="left"/>
      <w:pPr>
        <w:ind w:left="1345" w:hanging="495"/>
      </w:pPr>
      <w:rPr>
        <w:rFonts w:hint="default"/>
      </w:rPr>
    </w:lvl>
    <w:lvl w:ilvl="2" w:tentative="0">
      <w:start w:val="5"/>
      <w:numFmt w:val="decimal"/>
      <w:lvlText w:val="%1.%2.%3."/>
      <w:lvlJc w:val="left"/>
      <w:pPr>
        <w:ind w:left="2420" w:hanging="720"/>
      </w:pPr>
      <w:rPr>
        <w:rFonts w:hint="default"/>
      </w:rPr>
    </w:lvl>
    <w:lvl w:ilvl="3" w:tentative="0">
      <w:start w:val="1"/>
      <w:numFmt w:val="decimal"/>
      <w:lvlText w:val="%1.%2.%3.%4."/>
      <w:lvlJc w:val="left"/>
      <w:pPr>
        <w:ind w:left="3270" w:hanging="720"/>
      </w:pPr>
      <w:rPr>
        <w:rFonts w:hint="default"/>
      </w:rPr>
    </w:lvl>
    <w:lvl w:ilvl="4" w:tentative="0">
      <w:start w:val="1"/>
      <w:numFmt w:val="decimal"/>
      <w:lvlText w:val="%1.%2.%3.%4.%5."/>
      <w:lvlJc w:val="left"/>
      <w:pPr>
        <w:ind w:left="4480" w:hanging="1080"/>
      </w:pPr>
      <w:rPr>
        <w:rFonts w:hint="default"/>
      </w:rPr>
    </w:lvl>
    <w:lvl w:ilvl="5" w:tentative="0">
      <w:start w:val="1"/>
      <w:numFmt w:val="decimal"/>
      <w:lvlText w:val="%1.%2.%3.%4.%5.%6."/>
      <w:lvlJc w:val="left"/>
      <w:pPr>
        <w:ind w:left="5330" w:hanging="1080"/>
      </w:pPr>
      <w:rPr>
        <w:rFonts w:hint="default"/>
      </w:rPr>
    </w:lvl>
    <w:lvl w:ilvl="6" w:tentative="0">
      <w:start w:val="1"/>
      <w:numFmt w:val="decimal"/>
      <w:lvlText w:val="%1.%2.%3.%4.%5.%6.%7."/>
      <w:lvlJc w:val="left"/>
      <w:pPr>
        <w:ind w:left="6540" w:hanging="1440"/>
      </w:pPr>
      <w:rPr>
        <w:rFonts w:hint="default"/>
      </w:rPr>
    </w:lvl>
    <w:lvl w:ilvl="7" w:tentative="0">
      <w:start w:val="1"/>
      <w:numFmt w:val="decimal"/>
      <w:lvlText w:val="%1.%2.%3.%4.%5.%6.%7.%8."/>
      <w:lvlJc w:val="left"/>
      <w:pPr>
        <w:ind w:left="7390" w:hanging="1440"/>
      </w:pPr>
      <w:rPr>
        <w:rFonts w:hint="default"/>
      </w:rPr>
    </w:lvl>
    <w:lvl w:ilvl="8" w:tentative="0">
      <w:start w:val="1"/>
      <w:numFmt w:val="decimal"/>
      <w:lvlText w:val="%1.%2.%3.%4.%5.%6.%7.%8.%9."/>
      <w:lvlJc w:val="left"/>
      <w:pPr>
        <w:ind w:left="8600" w:hanging="1800"/>
      </w:pPr>
      <w:rPr>
        <w:rFonts w:hint="default"/>
      </w:rPr>
    </w:lvl>
  </w:abstractNum>
  <w:abstractNum w:abstractNumId="7">
    <w:nsid w:val="2F910F6A"/>
    <w:multiLevelType w:val="multilevel"/>
    <w:tmpl w:val="2F910F6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429"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8">
    <w:nsid w:val="365765B5"/>
    <w:multiLevelType w:val="multilevel"/>
    <w:tmpl w:val="365765B5"/>
    <w:lvl w:ilvl="0" w:tentative="0">
      <w:start w:val="4"/>
      <w:numFmt w:val="decimal"/>
      <w:lvlText w:val="%1"/>
      <w:lvlJc w:val="left"/>
      <w:pPr>
        <w:ind w:left="435" w:hanging="435"/>
      </w:pPr>
      <w:rPr>
        <w:rFonts w:hint="default"/>
        <w:color w:val="000000"/>
        <w:sz w:val="20"/>
      </w:rPr>
    </w:lvl>
    <w:lvl w:ilvl="1" w:tentative="0">
      <w:start w:val="3"/>
      <w:numFmt w:val="decimal"/>
      <w:lvlText w:val="%1.%2"/>
      <w:lvlJc w:val="left"/>
      <w:pPr>
        <w:ind w:left="1145" w:hanging="435"/>
      </w:pPr>
      <w:rPr>
        <w:rFonts w:hint="default"/>
        <w:color w:val="000000"/>
        <w:sz w:val="20"/>
      </w:rPr>
    </w:lvl>
    <w:lvl w:ilvl="2" w:tentative="0">
      <w:start w:val="1"/>
      <w:numFmt w:val="decimal"/>
      <w:lvlText w:val="%1.%2.%3"/>
      <w:lvlJc w:val="left"/>
      <w:pPr>
        <w:ind w:left="2140" w:hanging="720"/>
      </w:pPr>
      <w:rPr>
        <w:rFonts w:hint="default"/>
        <w:color w:val="000000"/>
        <w:sz w:val="20"/>
      </w:rPr>
    </w:lvl>
    <w:lvl w:ilvl="3" w:tentative="0">
      <w:start w:val="1"/>
      <w:numFmt w:val="decimal"/>
      <w:lvlText w:val="%1.%2.%3.%4"/>
      <w:lvlJc w:val="left"/>
      <w:pPr>
        <w:ind w:left="2850" w:hanging="720"/>
      </w:pPr>
      <w:rPr>
        <w:rFonts w:hint="default"/>
        <w:color w:val="000000"/>
        <w:sz w:val="20"/>
      </w:rPr>
    </w:lvl>
    <w:lvl w:ilvl="4" w:tentative="0">
      <w:start w:val="1"/>
      <w:numFmt w:val="decimal"/>
      <w:lvlText w:val="%1.%2.%3.%4.%5"/>
      <w:lvlJc w:val="left"/>
      <w:pPr>
        <w:ind w:left="3560" w:hanging="720"/>
      </w:pPr>
      <w:rPr>
        <w:rFonts w:hint="default"/>
        <w:color w:val="000000"/>
        <w:sz w:val="20"/>
      </w:rPr>
    </w:lvl>
    <w:lvl w:ilvl="5" w:tentative="0">
      <w:start w:val="1"/>
      <w:numFmt w:val="decimal"/>
      <w:lvlText w:val="%1.%2.%3.%4.%5.%6"/>
      <w:lvlJc w:val="left"/>
      <w:pPr>
        <w:ind w:left="4630" w:hanging="1080"/>
      </w:pPr>
      <w:rPr>
        <w:rFonts w:hint="default"/>
        <w:color w:val="000000"/>
        <w:sz w:val="20"/>
      </w:rPr>
    </w:lvl>
    <w:lvl w:ilvl="6" w:tentative="0">
      <w:start w:val="1"/>
      <w:numFmt w:val="decimal"/>
      <w:lvlText w:val="%1.%2.%3.%4.%5.%6.%7"/>
      <w:lvlJc w:val="left"/>
      <w:pPr>
        <w:ind w:left="5340" w:hanging="1080"/>
      </w:pPr>
      <w:rPr>
        <w:rFonts w:hint="default"/>
        <w:color w:val="000000"/>
        <w:sz w:val="20"/>
      </w:rPr>
    </w:lvl>
    <w:lvl w:ilvl="7" w:tentative="0">
      <w:start w:val="1"/>
      <w:numFmt w:val="decimal"/>
      <w:lvlText w:val="%1.%2.%3.%4.%5.%6.%7.%8"/>
      <w:lvlJc w:val="left"/>
      <w:pPr>
        <w:ind w:left="6410" w:hanging="1440"/>
      </w:pPr>
      <w:rPr>
        <w:rFonts w:hint="default"/>
        <w:color w:val="000000"/>
        <w:sz w:val="20"/>
      </w:rPr>
    </w:lvl>
    <w:lvl w:ilvl="8" w:tentative="0">
      <w:start w:val="1"/>
      <w:numFmt w:val="decimal"/>
      <w:lvlText w:val="%1.%2.%3.%4.%5.%6.%7.%8.%9"/>
      <w:lvlJc w:val="left"/>
      <w:pPr>
        <w:ind w:left="7120" w:hanging="1440"/>
      </w:pPr>
      <w:rPr>
        <w:rFonts w:hint="default"/>
        <w:color w:val="000000"/>
        <w:sz w:val="20"/>
      </w:rPr>
    </w:lvl>
  </w:abstractNum>
  <w:abstractNum w:abstractNumId="9">
    <w:nsid w:val="36CB5ACA"/>
    <w:multiLevelType w:val="multilevel"/>
    <w:tmpl w:val="36CB5A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C8A30A3"/>
    <w:multiLevelType w:val="multilevel"/>
    <w:tmpl w:val="3C8A30A3"/>
    <w:lvl w:ilvl="0" w:tentative="0">
      <w:start w:val="5"/>
      <w:numFmt w:val="decimal"/>
      <w:lvlText w:val="%1."/>
      <w:lvlJc w:val="left"/>
      <w:pPr>
        <w:ind w:left="360" w:hanging="360"/>
      </w:pPr>
      <w:rPr>
        <w:rFonts w:hint="default"/>
      </w:rPr>
    </w:lvl>
    <w:lvl w:ilvl="1" w:tentative="0">
      <w:start w:val="1"/>
      <w:numFmt w:val="decimal"/>
      <w:lvlText w:val="%1.%2."/>
      <w:lvlJc w:val="left"/>
      <w:pPr>
        <w:ind w:left="858" w:hanging="432"/>
      </w:pPr>
      <w:rPr>
        <w:rFonts w:hint="default"/>
        <w:b w:val="0"/>
        <w:i w:val="0"/>
        <w:strike w:val="0"/>
        <w:dstrike w:val="0"/>
        <w:color w:val="auto"/>
      </w:rPr>
    </w:lvl>
    <w:lvl w:ilvl="2" w:tentative="0">
      <w:start w:val="1"/>
      <w:numFmt w:val="decimal"/>
      <w:lvlText w:val="%1.%2.%3."/>
      <w:lvlJc w:val="left"/>
      <w:pPr>
        <w:ind w:left="1072" w:hanging="504"/>
      </w:pPr>
      <w:rPr>
        <w:rFonts w:hint="default"/>
        <w:sz w:val="20"/>
        <w:szCs w:val="20"/>
      </w:rPr>
    </w:lvl>
    <w:lvl w:ilvl="3" w:tentative="0">
      <w:start w:val="1"/>
      <w:numFmt w:val="decimal"/>
      <w:lvlText w:val="%1.%2.%3.%4."/>
      <w:lvlJc w:val="left"/>
      <w:pPr>
        <w:ind w:left="1728" w:hanging="648"/>
      </w:pPr>
      <w:rPr>
        <w:rFonts w:hint="default"/>
        <w:i w:val="0"/>
        <w:color w:val="auto"/>
      </w:rPr>
    </w:lvl>
    <w:lvl w:ilvl="4" w:tentative="0">
      <w:start w:val="1"/>
      <w:numFmt w:val="decimal"/>
      <w:lvlText w:val="%1.%2.%3.%4.%5."/>
      <w:lvlJc w:val="left"/>
      <w:pPr>
        <w:ind w:left="3060"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4D6C76E1"/>
    <w:multiLevelType w:val="multilevel"/>
    <w:tmpl w:val="4D6C76E1"/>
    <w:lvl w:ilvl="0" w:tentative="0">
      <w:start w:val="9"/>
      <w:numFmt w:val="decimal"/>
      <w:lvlText w:val="%1."/>
      <w:lvlJc w:val="left"/>
      <w:pPr>
        <w:ind w:left="576" w:hanging="576"/>
      </w:pPr>
      <w:rPr>
        <w:rFonts w:hint="default"/>
      </w:rPr>
    </w:lvl>
    <w:lvl w:ilvl="1" w:tentative="0">
      <w:start w:val="8"/>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040" w:hanging="2160"/>
      </w:pPr>
      <w:rPr>
        <w:rFonts w:hint="default"/>
      </w:rPr>
    </w:lvl>
  </w:abstractNum>
  <w:abstractNum w:abstractNumId="12">
    <w:nsid w:val="4F1C29C5"/>
    <w:multiLevelType w:val="multilevel"/>
    <w:tmpl w:val="4F1C29C5"/>
    <w:lvl w:ilvl="0" w:tentative="0">
      <w:start w:val="11"/>
      <w:numFmt w:val="decimal"/>
      <w:lvlText w:val="%1."/>
      <w:lvlJc w:val="left"/>
      <w:pPr>
        <w:ind w:left="440" w:hanging="440"/>
      </w:pPr>
      <w:rPr>
        <w:rFonts w:hint="default"/>
      </w:rPr>
    </w:lvl>
    <w:lvl w:ilvl="1" w:tentative="0">
      <w:start w:val="1"/>
      <w:numFmt w:val="decimal"/>
      <w:lvlText w:val="%1.%2."/>
      <w:lvlJc w:val="left"/>
      <w:pPr>
        <w:ind w:left="1007" w:hanging="44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13">
    <w:nsid w:val="570E74DC"/>
    <w:multiLevelType w:val="multilevel"/>
    <w:tmpl w:val="570E74DC"/>
    <w:lvl w:ilvl="0" w:tentative="0">
      <w:start w:val="12"/>
      <w:numFmt w:val="decimal"/>
      <w:lvlText w:val="%1."/>
      <w:lvlJc w:val="left"/>
      <w:pPr>
        <w:ind w:left="480" w:hanging="480"/>
      </w:pPr>
      <w:rPr>
        <w:rFonts w:hint="default"/>
      </w:rPr>
    </w:lvl>
    <w:lvl w:ilvl="1" w:tentative="0">
      <w:start w:val="1"/>
      <w:numFmt w:val="decimal"/>
      <w:lvlText w:val="%1.%2."/>
      <w:lvlJc w:val="left"/>
      <w:pPr>
        <w:ind w:left="1571" w:hanging="720"/>
      </w:pPr>
      <w:rPr>
        <w:rFonts w:hint="default"/>
      </w:rPr>
    </w:lvl>
    <w:lvl w:ilvl="2" w:tentative="0">
      <w:start w:val="1"/>
      <w:numFmt w:val="decimal"/>
      <w:lvlText w:val="%1.%2.%3."/>
      <w:lvlJc w:val="left"/>
      <w:pPr>
        <w:ind w:left="2421" w:hanging="720"/>
      </w:pPr>
      <w:rPr>
        <w:rFonts w:hint="default"/>
      </w:rPr>
    </w:lvl>
    <w:lvl w:ilvl="3" w:tentative="0">
      <w:start w:val="1"/>
      <w:numFmt w:val="decimal"/>
      <w:lvlText w:val="%1.%2.%3.%4."/>
      <w:lvlJc w:val="left"/>
      <w:pPr>
        <w:ind w:left="434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040" w:hanging="2160"/>
      </w:pPr>
      <w:rPr>
        <w:rFonts w:hint="default"/>
      </w:rPr>
    </w:lvl>
  </w:abstractNum>
  <w:abstractNum w:abstractNumId="14">
    <w:nsid w:val="58C70088"/>
    <w:multiLevelType w:val="multilevel"/>
    <w:tmpl w:val="58C70088"/>
    <w:lvl w:ilvl="0" w:tentative="0">
      <w:start w:val="1"/>
      <w:numFmt w:val="decimal"/>
      <w:pStyle w:val="37"/>
      <w:lvlText w:val="%1."/>
      <w:lvlJc w:val="left"/>
      <w:pPr>
        <w:ind w:left="502" w:hanging="360"/>
      </w:pPr>
      <w:rPr>
        <w:b/>
        <w:i w:val="0"/>
        <w:strike w:val="0"/>
        <w:dstrike w:val="0"/>
      </w:rPr>
    </w:lvl>
    <w:lvl w:ilvl="1" w:tentative="0">
      <w:start w:val="1"/>
      <w:numFmt w:val="decimal"/>
      <w:pStyle w:val="36"/>
      <w:lvlText w:val="%1.%2."/>
      <w:lvlJc w:val="left"/>
      <w:pPr>
        <w:ind w:left="858" w:hanging="432"/>
      </w:pPr>
      <w:rPr>
        <w:b w:val="0"/>
        <w:strike w:val="0"/>
      </w:rPr>
    </w:lvl>
    <w:lvl w:ilvl="2" w:tentative="0">
      <w:start w:val="1"/>
      <w:numFmt w:val="decimal"/>
      <w:pStyle w:val="38"/>
      <w:lvlText w:val="%1.%2.%3."/>
      <w:lvlJc w:val="left"/>
      <w:pPr>
        <w:ind w:left="1224" w:hanging="504"/>
      </w:pPr>
      <w:rPr>
        <w:i w:val="0"/>
        <w:strike w:val="0"/>
      </w:rPr>
    </w:lvl>
    <w:lvl w:ilvl="3" w:tentative="0">
      <w:start w:val="1"/>
      <w:numFmt w:val="decimal"/>
      <w:pStyle w:val="39"/>
      <w:lvlText w:val="%1.%2.%3.%4."/>
      <w:lvlJc w:val="left"/>
      <w:pPr>
        <w:ind w:left="1728" w:hanging="648"/>
      </w:pPr>
    </w:lvl>
    <w:lvl w:ilvl="4" w:tentative="0">
      <w:start w:val="1"/>
      <w:numFmt w:val="decimal"/>
      <w:pStyle w:val="40"/>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5A037E12"/>
    <w:multiLevelType w:val="multilevel"/>
    <w:tmpl w:val="5A037E12"/>
    <w:lvl w:ilvl="0" w:tentative="0">
      <w:start w:val="1"/>
      <w:numFmt w:val="decimal"/>
      <w:lvlText w:val="%1."/>
      <w:lvlJc w:val="left"/>
      <w:pPr>
        <w:ind w:left="360" w:hanging="360"/>
      </w:pPr>
    </w:lvl>
    <w:lvl w:ilvl="1" w:tentative="0">
      <w:start w:val="1"/>
      <w:numFmt w:val="decimal"/>
      <w:lvlText w:val="%1.%2."/>
      <w:lvlJc w:val="left"/>
      <w:pPr>
        <w:ind w:left="858" w:hanging="432"/>
      </w:pPr>
      <w:rPr>
        <w:b w:val="0"/>
        <w:i w:val="0"/>
        <w:strike w:val="0"/>
        <w:dstrike w:val="0"/>
        <w:color w:val="FF0000"/>
      </w:rPr>
    </w:lvl>
    <w:lvl w:ilvl="2" w:tentative="0">
      <w:start w:val="1"/>
      <w:numFmt w:val="decimal"/>
      <w:lvlText w:val="%1.%2.%3."/>
      <w:lvlJc w:val="left"/>
      <w:pPr>
        <w:ind w:left="1072" w:hanging="504"/>
      </w:pPr>
      <w:rPr>
        <w:sz w:val="20"/>
        <w:szCs w:val="20"/>
      </w:rPr>
    </w:lvl>
    <w:lvl w:ilvl="3" w:tentative="0">
      <w:start w:val="1"/>
      <w:numFmt w:val="decimal"/>
      <w:lvlText w:val="%1.%2.%3.%4."/>
      <w:lvlJc w:val="left"/>
      <w:pPr>
        <w:ind w:left="1728" w:hanging="648"/>
      </w:pPr>
      <w:rPr>
        <w:i w:val="0"/>
        <w:color w:val="auto"/>
      </w:rPr>
    </w:lvl>
    <w:lvl w:ilvl="4" w:tentative="0">
      <w:start w:val="1"/>
      <w:numFmt w:val="decimal"/>
      <w:lvlText w:val="%1.%2.%3.%4.%5."/>
      <w:lvlJc w:val="left"/>
      <w:pPr>
        <w:ind w:left="3060"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5BAB695E"/>
    <w:multiLevelType w:val="multilevel"/>
    <w:tmpl w:val="5BAB695E"/>
    <w:lvl w:ilvl="0" w:tentative="0">
      <w:start w:val="11"/>
      <w:numFmt w:val="decimal"/>
      <w:lvlText w:val="%1."/>
      <w:lvlJc w:val="left"/>
      <w:pPr>
        <w:ind w:left="615" w:hanging="615"/>
      </w:pPr>
      <w:rPr>
        <w:rFonts w:hint="default"/>
      </w:rPr>
    </w:lvl>
    <w:lvl w:ilvl="1" w:tentative="0">
      <w:start w:val="13"/>
      <w:numFmt w:val="decimal"/>
      <w:lvlText w:val="%1.%2."/>
      <w:lvlJc w:val="left"/>
      <w:pPr>
        <w:ind w:left="1074" w:hanging="72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2142" w:hanging="1080"/>
      </w:pPr>
      <w:rPr>
        <w:rFonts w:hint="default"/>
      </w:rPr>
    </w:lvl>
    <w:lvl w:ilvl="4" w:tentative="0">
      <w:start w:val="1"/>
      <w:numFmt w:val="decimal"/>
      <w:lvlText w:val="%1.%2.%3.%4.%5."/>
      <w:lvlJc w:val="left"/>
      <w:pPr>
        <w:ind w:left="2856" w:hanging="1440"/>
      </w:pPr>
      <w:rPr>
        <w:rFonts w:hint="default"/>
      </w:rPr>
    </w:lvl>
    <w:lvl w:ilvl="5" w:tentative="0">
      <w:start w:val="1"/>
      <w:numFmt w:val="decimal"/>
      <w:lvlText w:val="%1.%2.%3.%4.%5.%6."/>
      <w:lvlJc w:val="left"/>
      <w:pPr>
        <w:ind w:left="3210" w:hanging="1440"/>
      </w:pPr>
      <w:rPr>
        <w:rFonts w:hint="default"/>
      </w:rPr>
    </w:lvl>
    <w:lvl w:ilvl="6" w:tentative="0">
      <w:start w:val="1"/>
      <w:numFmt w:val="decimal"/>
      <w:lvlText w:val="%1.%2.%3.%4.%5.%6.%7."/>
      <w:lvlJc w:val="left"/>
      <w:pPr>
        <w:ind w:left="3924" w:hanging="1800"/>
      </w:pPr>
      <w:rPr>
        <w:rFonts w:hint="default"/>
      </w:rPr>
    </w:lvl>
    <w:lvl w:ilvl="7" w:tentative="0">
      <w:start w:val="1"/>
      <w:numFmt w:val="decimal"/>
      <w:lvlText w:val="%1.%2.%3.%4.%5.%6.%7.%8."/>
      <w:lvlJc w:val="left"/>
      <w:pPr>
        <w:ind w:left="4638" w:hanging="2160"/>
      </w:pPr>
      <w:rPr>
        <w:rFonts w:hint="default"/>
      </w:rPr>
    </w:lvl>
    <w:lvl w:ilvl="8" w:tentative="0">
      <w:start w:val="1"/>
      <w:numFmt w:val="decimal"/>
      <w:lvlText w:val="%1.%2.%3.%4.%5.%6.%7.%8.%9."/>
      <w:lvlJc w:val="left"/>
      <w:pPr>
        <w:ind w:left="4992" w:hanging="2160"/>
      </w:pPr>
      <w:rPr>
        <w:rFonts w:hint="default"/>
      </w:rPr>
    </w:lvl>
  </w:abstractNum>
  <w:abstractNum w:abstractNumId="17">
    <w:nsid w:val="5CF56AFA"/>
    <w:multiLevelType w:val="multilevel"/>
    <w:tmpl w:val="5CF56AFA"/>
    <w:lvl w:ilvl="0" w:tentative="0">
      <w:start w:val="9"/>
      <w:numFmt w:val="decimal"/>
      <w:lvlText w:val="%1."/>
      <w:lvlJc w:val="left"/>
      <w:pPr>
        <w:ind w:left="576" w:hanging="576"/>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ascii="Arial" w:hAnsi="Arial" w:cs="Arial"/>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040" w:hanging="2160"/>
      </w:pPr>
      <w:rPr>
        <w:rFonts w:hint="default"/>
      </w:rPr>
    </w:lvl>
  </w:abstractNum>
  <w:abstractNum w:abstractNumId="18">
    <w:nsid w:val="62E9429C"/>
    <w:multiLevelType w:val="multilevel"/>
    <w:tmpl w:val="62E9429C"/>
    <w:lvl w:ilvl="0" w:tentative="0">
      <w:start w:val="10"/>
      <w:numFmt w:val="decimal"/>
      <w:lvlText w:val="%1."/>
      <w:lvlJc w:val="left"/>
      <w:pPr>
        <w:ind w:left="516" w:hanging="516"/>
      </w:pPr>
      <w:rPr>
        <w:rFonts w:hint="default"/>
        <w:i w:val="0"/>
        <w:color w:val="auto"/>
      </w:rPr>
    </w:lvl>
    <w:lvl w:ilvl="1" w:tentative="0">
      <w:start w:val="1"/>
      <w:numFmt w:val="decimal"/>
      <w:lvlText w:val="%1.%2."/>
      <w:lvlJc w:val="left"/>
      <w:pPr>
        <w:ind w:left="1080" w:hanging="720"/>
      </w:pPr>
      <w:rPr>
        <w:rFonts w:hint="default"/>
        <w:i w:val="0"/>
        <w:color w:val="auto"/>
      </w:rPr>
    </w:lvl>
    <w:lvl w:ilvl="2" w:tentative="0">
      <w:start w:val="1"/>
      <w:numFmt w:val="decimal"/>
      <w:lvlText w:val="%1.%2.%3."/>
      <w:lvlJc w:val="left"/>
      <w:pPr>
        <w:ind w:left="1440" w:hanging="720"/>
      </w:pPr>
      <w:rPr>
        <w:rFonts w:hint="default"/>
        <w:i w:val="0"/>
        <w:color w:val="auto"/>
      </w:rPr>
    </w:lvl>
    <w:lvl w:ilvl="3" w:tentative="0">
      <w:start w:val="1"/>
      <w:numFmt w:val="decimal"/>
      <w:lvlText w:val="%1.%2.%3.%4."/>
      <w:lvlJc w:val="left"/>
      <w:pPr>
        <w:ind w:left="2160" w:hanging="1080"/>
      </w:pPr>
      <w:rPr>
        <w:rFonts w:hint="default"/>
        <w:i w:val="0"/>
        <w:color w:val="auto"/>
      </w:rPr>
    </w:lvl>
    <w:lvl w:ilvl="4" w:tentative="0">
      <w:start w:val="1"/>
      <w:numFmt w:val="decimal"/>
      <w:lvlText w:val="%1.%2.%3.%4.%5."/>
      <w:lvlJc w:val="left"/>
      <w:pPr>
        <w:ind w:left="2880" w:hanging="1440"/>
      </w:pPr>
      <w:rPr>
        <w:rFonts w:hint="default"/>
        <w:i w:val="0"/>
        <w:color w:val="auto"/>
      </w:rPr>
    </w:lvl>
    <w:lvl w:ilvl="5" w:tentative="0">
      <w:start w:val="1"/>
      <w:numFmt w:val="decimal"/>
      <w:lvlText w:val="%1.%2.%3.%4.%5.%6."/>
      <w:lvlJc w:val="left"/>
      <w:pPr>
        <w:ind w:left="3240" w:hanging="1440"/>
      </w:pPr>
      <w:rPr>
        <w:rFonts w:hint="default"/>
        <w:i w:val="0"/>
        <w:color w:val="auto"/>
      </w:rPr>
    </w:lvl>
    <w:lvl w:ilvl="6" w:tentative="0">
      <w:start w:val="1"/>
      <w:numFmt w:val="decimal"/>
      <w:lvlText w:val="%1.%2.%3.%4.%5.%6.%7."/>
      <w:lvlJc w:val="left"/>
      <w:pPr>
        <w:ind w:left="3960" w:hanging="1800"/>
      </w:pPr>
      <w:rPr>
        <w:rFonts w:hint="default"/>
        <w:i w:val="0"/>
        <w:color w:val="auto"/>
      </w:rPr>
    </w:lvl>
    <w:lvl w:ilvl="7" w:tentative="0">
      <w:start w:val="1"/>
      <w:numFmt w:val="decimal"/>
      <w:lvlText w:val="%1.%2.%3.%4.%5.%6.%7.%8."/>
      <w:lvlJc w:val="left"/>
      <w:pPr>
        <w:ind w:left="4680" w:hanging="2160"/>
      </w:pPr>
      <w:rPr>
        <w:rFonts w:hint="default"/>
        <w:i w:val="0"/>
        <w:color w:val="auto"/>
      </w:rPr>
    </w:lvl>
    <w:lvl w:ilvl="8" w:tentative="0">
      <w:start w:val="1"/>
      <w:numFmt w:val="decimal"/>
      <w:lvlText w:val="%1.%2.%3.%4.%5.%6.%7.%8.%9."/>
      <w:lvlJc w:val="left"/>
      <w:pPr>
        <w:ind w:left="5040" w:hanging="2160"/>
      </w:pPr>
      <w:rPr>
        <w:rFonts w:hint="default"/>
        <w:i w:val="0"/>
        <w:color w:val="auto"/>
      </w:rPr>
    </w:lvl>
  </w:abstractNum>
  <w:abstractNum w:abstractNumId="19">
    <w:nsid w:val="64AB337C"/>
    <w:multiLevelType w:val="multilevel"/>
    <w:tmpl w:val="64AB337C"/>
    <w:lvl w:ilvl="0" w:tentative="0">
      <w:start w:val="18"/>
      <w:numFmt w:val="decimal"/>
      <w:lvlText w:val="%1."/>
      <w:lvlJc w:val="left"/>
      <w:pPr>
        <w:ind w:left="540" w:hanging="540"/>
      </w:pPr>
      <w:rPr>
        <w:rFonts w:hint="default"/>
      </w:rPr>
    </w:lvl>
    <w:lvl w:ilvl="1" w:tentative="0">
      <w:start w:val="10"/>
      <w:numFmt w:val="decimal"/>
      <w:lvlText w:val="%1.%2."/>
      <w:lvlJc w:val="left"/>
      <w:pPr>
        <w:ind w:left="2111" w:hanging="540"/>
      </w:pPr>
      <w:rPr>
        <w:rFonts w:hint="default"/>
      </w:rPr>
    </w:lvl>
    <w:lvl w:ilvl="2" w:tentative="0">
      <w:start w:val="1"/>
      <w:numFmt w:val="decimal"/>
      <w:lvlText w:val="%1.%2.%3."/>
      <w:lvlJc w:val="left"/>
      <w:pPr>
        <w:ind w:left="3862" w:hanging="720"/>
      </w:pPr>
      <w:rPr>
        <w:rFonts w:hint="default"/>
      </w:rPr>
    </w:lvl>
    <w:lvl w:ilvl="3" w:tentative="0">
      <w:start w:val="1"/>
      <w:numFmt w:val="decimal"/>
      <w:lvlText w:val="%1.%2.%3.%4."/>
      <w:lvlJc w:val="left"/>
      <w:pPr>
        <w:ind w:left="5433" w:hanging="720"/>
      </w:pPr>
      <w:rPr>
        <w:rFonts w:hint="default"/>
      </w:rPr>
    </w:lvl>
    <w:lvl w:ilvl="4" w:tentative="0">
      <w:start w:val="1"/>
      <w:numFmt w:val="decimal"/>
      <w:lvlText w:val="%1.%2.%3.%4.%5."/>
      <w:lvlJc w:val="left"/>
      <w:pPr>
        <w:ind w:left="7364" w:hanging="1080"/>
      </w:pPr>
      <w:rPr>
        <w:rFonts w:hint="default"/>
      </w:rPr>
    </w:lvl>
    <w:lvl w:ilvl="5" w:tentative="0">
      <w:start w:val="1"/>
      <w:numFmt w:val="decimal"/>
      <w:lvlText w:val="%1.%2.%3.%4.%5.%6."/>
      <w:lvlJc w:val="left"/>
      <w:pPr>
        <w:ind w:left="8935" w:hanging="1080"/>
      </w:pPr>
      <w:rPr>
        <w:rFonts w:hint="default"/>
      </w:rPr>
    </w:lvl>
    <w:lvl w:ilvl="6" w:tentative="0">
      <w:start w:val="1"/>
      <w:numFmt w:val="decimal"/>
      <w:lvlText w:val="%1.%2.%3.%4.%5.%6.%7."/>
      <w:lvlJc w:val="left"/>
      <w:pPr>
        <w:ind w:left="10866" w:hanging="1440"/>
      </w:pPr>
      <w:rPr>
        <w:rFonts w:hint="default"/>
      </w:rPr>
    </w:lvl>
    <w:lvl w:ilvl="7" w:tentative="0">
      <w:start w:val="1"/>
      <w:numFmt w:val="decimal"/>
      <w:lvlText w:val="%1.%2.%3.%4.%5.%6.%7.%8."/>
      <w:lvlJc w:val="left"/>
      <w:pPr>
        <w:ind w:left="12437" w:hanging="1440"/>
      </w:pPr>
      <w:rPr>
        <w:rFonts w:hint="default"/>
      </w:rPr>
    </w:lvl>
    <w:lvl w:ilvl="8" w:tentative="0">
      <w:start w:val="1"/>
      <w:numFmt w:val="decimal"/>
      <w:lvlText w:val="%1.%2.%3.%4.%5.%6.%7.%8.%9."/>
      <w:lvlJc w:val="left"/>
      <w:pPr>
        <w:ind w:left="14368" w:hanging="1800"/>
      </w:pPr>
      <w:rPr>
        <w:rFonts w:hint="default"/>
      </w:rPr>
    </w:lvl>
  </w:abstractNum>
  <w:abstractNum w:abstractNumId="20">
    <w:nsid w:val="6C763331"/>
    <w:multiLevelType w:val="multilevel"/>
    <w:tmpl w:val="6C763331"/>
    <w:lvl w:ilvl="0" w:tentative="0">
      <w:start w:val="10"/>
      <w:numFmt w:val="decimal"/>
      <w:lvlText w:val="%1."/>
      <w:lvlJc w:val="left"/>
      <w:pPr>
        <w:ind w:left="620" w:hanging="620"/>
      </w:pPr>
      <w:rPr>
        <w:rFonts w:hint="default"/>
      </w:rPr>
    </w:lvl>
    <w:lvl w:ilvl="1" w:tentative="0">
      <w:start w:val="6"/>
      <w:numFmt w:val="decimal"/>
      <w:lvlText w:val="%1.%2."/>
      <w:lvlJc w:val="left"/>
      <w:pPr>
        <w:ind w:left="974" w:hanging="62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21">
    <w:nsid w:val="7D1151AD"/>
    <w:multiLevelType w:val="multilevel"/>
    <w:tmpl w:val="7D1151AD"/>
    <w:lvl w:ilvl="0" w:tentative="0">
      <w:start w:val="7"/>
      <w:numFmt w:val="decimal"/>
      <w:lvlText w:val="%1."/>
      <w:lvlJc w:val="left"/>
      <w:pPr>
        <w:ind w:left="500" w:hanging="500"/>
      </w:pPr>
      <w:rPr>
        <w:rFonts w:hint="default"/>
      </w:rPr>
    </w:lvl>
    <w:lvl w:ilvl="1" w:tentative="0">
      <w:start w:val="3"/>
      <w:numFmt w:val="decimal"/>
      <w:lvlText w:val="%1.%2."/>
      <w:lvlJc w:val="left"/>
      <w:pPr>
        <w:ind w:left="854" w:hanging="50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3130"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22">
    <w:nsid w:val="7F2B7546"/>
    <w:multiLevelType w:val="multilevel"/>
    <w:tmpl w:val="7F2B7546"/>
    <w:lvl w:ilvl="0" w:tentative="0">
      <w:start w:val="7"/>
      <w:numFmt w:val="decimal"/>
      <w:lvlText w:val="%1."/>
      <w:lvlJc w:val="left"/>
      <w:pPr>
        <w:ind w:left="576" w:hanging="576"/>
      </w:pPr>
      <w:rPr>
        <w:rFonts w:hint="default"/>
      </w:rPr>
    </w:lvl>
    <w:lvl w:ilvl="1" w:tentative="0">
      <w:start w:val="5"/>
      <w:numFmt w:val="decimal"/>
      <w:lvlText w:val="%1.%2."/>
      <w:lvlJc w:val="left"/>
      <w:pPr>
        <w:ind w:left="1004" w:hanging="720"/>
      </w:pPr>
      <w:rPr>
        <w:rFonts w:hint="default"/>
      </w:rPr>
    </w:lvl>
    <w:lvl w:ilvl="2" w:tentative="0">
      <w:start w:val="2"/>
      <w:numFmt w:val="decimal"/>
      <w:lvlText w:val="%1.%2.%3."/>
      <w:lvlJc w:val="left"/>
      <w:pPr>
        <w:ind w:left="1288" w:hanging="720"/>
      </w:pPr>
      <w:rPr>
        <w:rFonts w:hint="default"/>
      </w:rPr>
    </w:lvl>
    <w:lvl w:ilvl="3" w:tentative="0">
      <w:start w:val="1"/>
      <w:numFmt w:val="decimal"/>
      <w:lvlText w:val="%1.%2.%3.%4."/>
      <w:lvlJc w:val="left"/>
      <w:pPr>
        <w:ind w:left="1932" w:hanging="1080"/>
      </w:pPr>
      <w:rPr>
        <w:rFonts w:hint="default"/>
      </w:rPr>
    </w:lvl>
    <w:lvl w:ilvl="4" w:tentative="0">
      <w:start w:val="1"/>
      <w:numFmt w:val="decimal"/>
      <w:lvlText w:val="%1.%2.%3.%4.%5."/>
      <w:lvlJc w:val="left"/>
      <w:pPr>
        <w:ind w:left="2576" w:hanging="1440"/>
      </w:pPr>
      <w:rPr>
        <w:rFonts w:hint="default"/>
      </w:rPr>
    </w:lvl>
    <w:lvl w:ilvl="5" w:tentative="0">
      <w:start w:val="1"/>
      <w:numFmt w:val="decimal"/>
      <w:lvlText w:val="%1.%2.%3.%4.%5.%6."/>
      <w:lvlJc w:val="left"/>
      <w:pPr>
        <w:ind w:left="2860" w:hanging="1440"/>
      </w:pPr>
      <w:rPr>
        <w:rFonts w:hint="default"/>
      </w:rPr>
    </w:lvl>
    <w:lvl w:ilvl="6" w:tentative="0">
      <w:start w:val="1"/>
      <w:numFmt w:val="decimal"/>
      <w:lvlText w:val="%1.%2.%3.%4.%5.%6.%7."/>
      <w:lvlJc w:val="left"/>
      <w:pPr>
        <w:ind w:left="3504" w:hanging="1800"/>
      </w:pPr>
      <w:rPr>
        <w:rFonts w:hint="default"/>
      </w:rPr>
    </w:lvl>
    <w:lvl w:ilvl="7" w:tentative="0">
      <w:start w:val="1"/>
      <w:numFmt w:val="decimal"/>
      <w:lvlText w:val="%1.%2.%3.%4.%5.%6.%7.%8."/>
      <w:lvlJc w:val="left"/>
      <w:pPr>
        <w:ind w:left="4148" w:hanging="2160"/>
      </w:pPr>
      <w:rPr>
        <w:rFonts w:hint="default"/>
      </w:rPr>
    </w:lvl>
    <w:lvl w:ilvl="8" w:tentative="0">
      <w:start w:val="1"/>
      <w:numFmt w:val="decimal"/>
      <w:lvlText w:val="%1.%2.%3.%4.%5.%6.%7.%8.%9."/>
      <w:lvlJc w:val="left"/>
      <w:pPr>
        <w:ind w:left="4432" w:hanging="2160"/>
      </w:pPr>
      <w:rPr>
        <w:rFonts w:hint="default"/>
      </w:rPr>
    </w:lvl>
  </w:abstractNum>
  <w:abstractNum w:abstractNumId="23">
    <w:nsid w:val="7FDD2775"/>
    <w:multiLevelType w:val="multilevel"/>
    <w:tmpl w:val="7FDD2775"/>
    <w:lvl w:ilvl="0" w:tentative="0">
      <w:start w:val="7"/>
      <w:numFmt w:val="decimal"/>
      <w:lvlText w:val="%1."/>
      <w:lvlJc w:val="left"/>
      <w:pPr>
        <w:ind w:left="495" w:hanging="495"/>
      </w:pPr>
      <w:rPr>
        <w:rFonts w:hint="default"/>
      </w:rPr>
    </w:lvl>
    <w:lvl w:ilvl="1" w:tentative="0">
      <w:start w:val="6"/>
      <w:numFmt w:val="decimal"/>
      <w:lvlText w:val="%1.%2."/>
      <w:lvlJc w:val="left"/>
      <w:pPr>
        <w:ind w:left="1345" w:hanging="495"/>
      </w:pPr>
      <w:rPr>
        <w:rFonts w:hint="default"/>
      </w:rPr>
    </w:lvl>
    <w:lvl w:ilvl="2" w:tentative="0">
      <w:start w:val="7"/>
      <w:numFmt w:val="decimal"/>
      <w:lvlText w:val="%1.%2.%3."/>
      <w:lvlJc w:val="left"/>
      <w:pPr>
        <w:ind w:left="2420" w:hanging="720"/>
      </w:pPr>
      <w:rPr>
        <w:rFonts w:hint="default"/>
      </w:rPr>
    </w:lvl>
    <w:lvl w:ilvl="3" w:tentative="0">
      <w:start w:val="1"/>
      <w:numFmt w:val="decimal"/>
      <w:lvlText w:val="%1.%2.%3.%4."/>
      <w:lvlJc w:val="left"/>
      <w:pPr>
        <w:ind w:left="3270" w:hanging="720"/>
      </w:pPr>
      <w:rPr>
        <w:rFonts w:hint="default"/>
      </w:rPr>
    </w:lvl>
    <w:lvl w:ilvl="4" w:tentative="0">
      <w:start w:val="1"/>
      <w:numFmt w:val="decimal"/>
      <w:lvlText w:val="%1.%2.%3.%4.%5."/>
      <w:lvlJc w:val="left"/>
      <w:pPr>
        <w:ind w:left="4480" w:hanging="1080"/>
      </w:pPr>
      <w:rPr>
        <w:rFonts w:hint="default"/>
      </w:rPr>
    </w:lvl>
    <w:lvl w:ilvl="5" w:tentative="0">
      <w:start w:val="1"/>
      <w:numFmt w:val="decimal"/>
      <w:lvlText w:val="%1.%2.%3.%4.%5.%6."/>
      <w:lvlJc w:val="left"/>
      <w:pPr>
        <w:ind w:left="5330" w:hanging="1080"/>
      </w:pPr>
      <w:rPr>
        <w:rFonts w:hint="default"/>
      </w:rPr>
    </w:lvl>
    <w:lvl w:ilvl="6" w:tentative="0">
      <w:start w:val="1"/>
      <w:numFmt w:val="decimal"/>
      <w:lvlText w:val="%1.%2.%3.%4.%5.%6.%7."/>
      <w:lvlJc w:val="left"/>
      <w:pPr>
        <w:ind w:left="6540" w:hanging="1440"/>
      </w:pPr>
      <w:rPr>
        <w:rFonts w:hint="default"/>
      </w:rPr>
    </w:lvl>
    <w:lvl w:ilvl="7" w:tentative="0">
      <w:start w:val="1"/>
      <w:numFmt w:val="decimal"/>
      <w:lvlText w:val="%1.%2.%3.%4.%5.%6.%7.%8."/>
      <w:lvlJc w:val="left"/>
      <w:pPr>
        <w:ind w:left="7390" w:hanging="1440"/>
      </w:pPr>
      <w:rPr>
        <w:rFonts w:hint="default"/>
      </w:rPr>
    </w:lvl>
    <w:lvl w:ilvl="8" w:tentative="0">
      <w:start w:val="1"/>
      <w:numFmt w:val="decimal"/>
      <w:lvlText w:val="%1.%2.%3.%4.%5.%6.%7.%8.%9."/>
      <w:lvlJc w:val="left"/>
      <w:pPr>
        <w:ind w:left="8600" w:hanging="1800"/>
      </w:pPr>
      <w:rPr>
        <w:rFonts w:hint="default"/>
      </w:rPr>
    </w:lvl>
  </w:abstractNum>
  <w:num w:numId="1">
    <w:abstractNumId w:val="14"/>
  </w:num>
  <w:num w:numId="2">
    <w:abstractNumId w:val="3"/>
  </w:num>
  <w:num w:numId="3">
    <w:abstractNumId w:val="15"/>
  </w:num>
  <w:num w:numId="4">
    <w:abstractNumId w:val="10"/>
  </w:num>
  <w:num w:numId="5">
    <w:abstractNumId w:val="4"/>
  </w:num>
  <w:num w:numId="6">
    <w:abstractNumId w:val="9"/>
  </w:num>
  <w:num w:numId="7">
    <w:abstractNumId w:val="8"/>
  </w:num>
  <w:num w:numId="8">
    <w:abstractNumId w:val="6"/>
  </w:num>
  <w:num w:numId="9">
    <w:abstractNumId w:val="2"/>
  </w:num>
  <w:num w:numId="10">
    <w:abstractNumId w:val="23"/>
  </w:num>
  <w:num w:numId="11">
    <w:abstractNumId w:val="21"/>
  </w:num>
  <w:num w:numId="12">
    <w:abstractNumId w:val="22"/>
  </w:num>
  <w:num w:numId="13">
    <w:abstractNumId w:val="7"/>
  </w:num>
  <w:num w:numId="14">
    <w:abstractNumId w:val="17"/>
  </w:num>
  <w:num w:numId="15">
    <w:abstractNumId w:val="11"/>
  </w:num>
  <w:num w:numId="16">
    <w:abstractNumId w:val="18"/>
  </w:num>
  <w:num w:numId="17">
    <w:abstractNumId w:val="20"/>
  </w:num>
  <w:num w:numId="18">
    <w:abstractNumId w:val="16"/>
  </w:num>
  <w:num w:numId="19">
    <w:abstractNumId w:val="12"/>
  </w:num>
  <w:num w:numId="20">
    <w:abstractNumId w:val="13"/>
  </w:num>
  <w:num w:numId="21">
    <w:abstractNumId w:val="5"/>
  </w:num>
  <w:num w:numId="22">
    <w:abstractNumId w:val="0"/>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66"/>
    <w:rsid w:val="000016B1"/>
    <w:rsid w:val="00001CD7"/>
    <w:rsid w:val="000045DF"/>
    <w:rsid w:val="0000585D"/>
    <w:rsid w:val="000064C4"/>
    <w:rsid w:val="00006679"/>
    <w:rsid w:val="00010229"/>
    <w:rsid w:val="000122B3"/>
    <w:rsid w:val="00012B63"/>
    <w:rsid w:val="0001634B"/>
    <w:rsid w:val="000175DD"/>
    <w:rsid w:val="000204B7"/>
    <w:rsid w:val="0002378D"/>
    <w:rsid w:val="00026707"/>
    <w:rsid w:val="00031186"/>
    <w:rsid w:val="00040073"/>
    <w:rsid w:val="00050757"/>
    <w:rsid w:val="000536E7"/>
    <w:rsid w:val="000551E3"/>
    <w:rsid w:val="00063606"/>
    <w:rsid w:val="0006528F"/>
    <w:rsid w:val="00076BD1"/>
    <w:rsid w:val="00081A88"/>
    <w:rsid w:val="00082A32"/>
    <w:rsid w:val="000847C5"/>
    <w:rsid w:val="00085CEA"/>
    <w:rsid w:val="000912D3"/>
    <w:rsid w:val="00092976"/>
    <w:rsid w:val="000933F8"/>
    <w:rsid w:val="0009649F"/>
    <w:rsid w:val="0009768A"/>
    <w:rsid w:val="000A3059"/>
    <w:rsid w:val="000B01CE"/>
    <w:rsid w:val="000B2724"/>
    <w:rsid w:val="000B4FEC"/>
    <w:rsid w:val="000C6D78"/>
    <w:rsid w:val="000E632B"/>
    <w:rsid w:val="000E7AC1"/>
    <w:rsid w:val="000F33DC"/>
    <w:rsid w:val="00100850"/>
    <w:rsid w:val="001067AB"/>
    <w:rsid w:val="00106BE8"/>
    <w:rsid w:val="00113BD9"/>
    <w:rsid w:val="00116D59"/>
    <w:rsid w:val="0012003F"/>
    <w:rsid w:val="001230EA"/>
    <w:rsid w:val="00133B50"/>
    <w:rsid w:val="001434E0"/>
    <w:rsid w:val="00143675"/>
    <w:rsid w:val="0014553B"/>
    <w:rsid w:val="00145EB9"/>
    <w:rsid w:val="001538D6"/>
    <w:rsid w:val="00157F44"/>
    <w:rsid w:val="0016383B"/>
    <w:rsid w:val="00163EB6"/>
    <w:rsid w:val="001672A3"/>
    <w:rsid w:val="00172B79"/>
    <w:rsid w:val="00173C77"/>
    <w:rsid w:val="00177B24"/>
    <w:rsid w:val="0018745E"/>
    <w:rsid w:val="00191D6D"/>
    <w:rsid w:val="00192845"/>
    <w:rsid w:val="0019297F"/>
    <w:rsid w:val="00193DC5"/>
    <w:rsid w:val="001B0FB0"/>
    <w:rsid w:val="001B2680"/>
    <w:rsid w:val="001B5371"/>
    <w:rsid w:val="001B5C60"/>
    <w:rsid w:val="001B6D84"/>
    <w:rsid w:val="001C4492"/>
    <w:rsid w:val="001C4CFD"/>
    <w:rsid w:val="001C63AC"/>
    <w:rsid w:val="001C683B"/>
    <w:rsid w:val="001C6E1D"/>
    <w:rsid w:val="001D38D4"/>
    <w:rsid w:val="001D49DE"/>
    <w:rsid w:val="001D59BF"/>
    <w:rsid w:val="001F1FFD"/>
    <w:rsid w:val="001F2E63"/>
    <w:rsid w:val="001F65C5"/>
    <w:rsid w:val="001F6759"/>
    <w:rsid w:val="001F7529"/>
    <w:rsid w:val="001F7AFE"/>
    <w:rsid w:val="00203428"/>
    <w:rsid w:val="00210C85"/>
    <w:rsid w:val="002110D5"/>
    <w:rsid w:val="00212109"/>
    <w:rsid w:val="00213951"/>
    <w:rsid w:val="00217F50"/>
    <w:rsid w:val="002237D7"/>
    <w:rsid w:val="0022652C"/>
    <w:rsid w:val="0023776A"/>
    <w:rsid w:val="002420C5"/>
    <w:rsid w:val="002456FA"/>
    <w:rsid w:val="00245730"/>
    <w:rsid w:val="00246D54"/>
    <w:rsid w:val="002470CE"/>
    <w:rsid w:val="00257E64"/>
    <w:rsid w:val="0026109F"/>
    <w:rsid w:val="00263ABA"/>
    <w:rsid w:val="00271DC1"/>
    <w:rsid w:val="00280041"/>
    <w:rsid w:val="00281FF8"/>
    <w:rsid w:val="00282082"/>
    <w:rsid w:val="0028531B"/>
    <w:rsid w:val="00292C58"/>
    <w:rsid w:val="002930D4"/>
    <w:rsid w:val="00295D50"/>
    <w:rsid w:val="002977D2"/>
    <w:rsid w:val="002A1FEB"/>
    <w:rsid w:val="002A6253"/>
    <w:rsid w:val="002A6BED"/>
    <w:rsid w:val="002A6F3B"/>
    <w:rsid w:val="002A7259"/>
    <w:rsid w:val="002B7C5F"/>
    <w:rsid w:val="002C11DD"/>
    <w:rsid w:val="002C211D"/>
    <w:rsid w:val="002C5B66"/>
    <w:rsid w:val="002D1568"/>
    <w:rsid w:val="002D7A5B"/>
    <w:rsid w:val="002E0002"/>
    <w:rsid w:val="002E0699"/>
    <w:rsid w:val="002E193B"/>
    <w:rsid w:val="002E2AE3"/>
    <w:rsid w:val="002E3C77"/>
    <w:rsid w:val="002E7CC4"/>
    <w:rsid w:val="002F7016"/>
    <w:rsid w:val="002F7037"/>
    <w:rsid w:val="00302694"/>
    <w:rsid w:val="00304EFC"/>
    <w:rsid w:val="0031129D"/>
    <w:rsid w:val="00320237"/>
    <w:rsid w:val="00326473"/>
    <w:rsid w:val="0032745B"/>
    <w:rsid w:val="00352A0E"/>
    <w:rsid w:val="00360C2D"/>
    <w:rsid w:val="00366154"/>
    <w:rsid w:val="003678A4"/>
    <w:rsid w:val="00376433"/>
    <w:rsid w:val="003765D3"/>
    <w:rsid w:val="0038423A"/>
    <w:rsid w:val="00387E8F"/>
    <w:rsid w:val="00390667"/>
    <w:rsid w:val="00391D7D"/>
    <w:rsid w:val="0039624D"/>
    <w:rsid w:val="003A7D2B"/>
    <w:rsid w:val="003B3812"/>
    <w:rsid w:val="003B4692"/>
    <w:rsid w:val="003B57C8"/>
    <w:rsid w:val="003B78F8"/>
    <w:rsid w:val="003C2B78"/>
    <w:rsid w:val="003C34D3"/>
    <w:rsid w:val="003C37DD"/>
    <w:rsid w:val="003C6A2E"/>
    <w:rsid w:val="003D2B78"/>
    <w:rsid w:val="003D2B89"/>
    <w:rsid w:val="003E77C6"/>
    <w:rsid w:val="003F02CD"/>
    <w:rsid w:val="003F0D8B"/>
    <w:rsid w:val="003F5E9B"/>
    <w:rsid w:val="003F72EB"/>
    <w:rsid w:val="004029BB"/>
    <w:rsid w:val="00403A6E"/>
    <w:rsid w:val="00410420"/>
    <w:rsid w:val="00417766"/>
    <w:rsid w:val="004242E3"/>
    <w:rsid w:val="004328B0"/>
    <w:rsid w:val="00433B45"/>
    <w:rsid w:val="00436F3D"/>
    <w:rsid w:val="0043701E"/>
    <w:rsid w:val="00445522"/>
    <w:rsid w:val="00446FFE"/>
    <w:rsid w:val="00467FB4"/>
    <w:rsid w:val="00476376"/>
    <w:rsid w:val="004808CC"/>
    <w:rsid w:val="00481110"/>
    <w:rsid w:val="004814CD"/>
    <w:rsid w:val="00482D77"/>
    <w:rsid w:val="004947D0"/>
    <w:rsid w:val="00494B31"/>
    <w:rsid w:val="004A2747"/>
    <w:rsid w:val="004A44D2"/>
    <w:rsid w:val="004A5521"/>
    <w:rsid w:val="004A77BF"/>
    <w:rsid w:val="004A7E3F"/>
    <w:rsid w:val="004B4020"/>
    <w:rsid w:val="004B7D19"/>
    <w:rsid w:val="004C3667"/>
    <w:rsid w:val="004D306F"/>
    <w:rsid w:val="004D6B06"/>
    <w:rsid w:val="004E3E20"/>
    <w:rsid w:val="004E5983"/>
    <w:rsid w:val="004E7DD5"/>
    <w:rsid w:val="004F1CFA"/>
    <w:rsid w:val="004F75E5"/>
    <w:rsid w:val="0050614C"/>
    <w:rsid w:val="00506BD8"/>
    <w:rsid w:val="005073D7"/>
    <w:rsid w:val="00510717"/>
    <w:rsid w:val="005162CA"/>
    <w:rsid w:val="0052029F"/>
    <w:rsid w:val="00522330"/>
    <w:rsid w:val="00523037"/>
    <w:rsid w:val="00530A77"/>
    <w:rsid w:val="005318EF"/>
    <w:rsid w:val="00540218"/>
    <w:rsid w:val="005425B0"/>
    <w:rsid w:val="005534CB"/>
    <w:rsid w:val="00560870"/>
    <w:rsid w:val="0057107C"/>
    <w:rsid w:val="00571141"/>
    <w:rsid w:val="0057170E"/>
    <w:rsid w:val="00574281"/>
    <w:rsid w:val="0058480A"/>
    <w:rsid w:val="00591CEC"/>
    <w:rsid w:val="005927E6"/>
    <w:rsid w:val="00595407"/>
    <w:rsid w:val="005A20A5"/>
    <w:rsid w:val="005A345C"/>
    <w:rsid w:val="005B15DA"/>
    <w:rsid w:val="005B3C1D"/>
    <w:rsid w:val="005B5E55"/>
    <w:rsid w:val="005B6F1B"/>
    <w:rsid w:val="005C1387"/>
    <w:rsid w:val="005C3C9C"/>
    <w:rsid w:val="005C6287"/>
    <w:rsid w:val="005D0F37"/>
    <w:rsid w:val="005D158B"/>
    <w:rsid w:val="005D2CED"/>
    <w:rsid w:val="005D3CEE"/>
    <w:rsid w:val="005D58AE"/>
    <w:rsid w:val="005D698E"/>
    <w:rsid w:val="005D6C9C"/>
    <w:rsid w:val="005E23F8"/>
    <w:rsid w:val="005E25D6"/>
    <w:rsid w:val="005E4322"/>
    <w:rsid w:val="005E4576"/>
    <w:rsid w:val="005F397D"/>
    <w:rsid w:val="005F3CCC"/>
    <w:rsid w:val="00601086"/>
    <w:rsid w:val="0060384C"/>
    <w:rsid w:val="00605EEA"/>
    <w:rsid w:val="00610B11"/>
    <w:rsid w:val="00623796"/>
    <w:rsid w:val="006324DB"/>
    <w:rsid w:val="00637E00"/>
    <w:rsid w:val="006414F9"/>
    <w:rsid w:val="00641887"/>
    <w:rsid w:val="0064233D"/>
    <w:rsid w:val="0064792C"/>
    <w:rsid w:val="00661D7C"/>
    <w:rsid w:val="006719CA"/>
    <w:rsid w:val="00692056"/>
    <w:rsid w:val="00692A2E"/>
    <w:rsid w:val="006932BC"/>
    <w:rsid w:val="006A25DA"/>
    <w:rsid w:val="006A456D"/>
    <w:rsid w:val="006A5381"/>
    <w:rsid w:val="006A6037"/>
    <w:rsid w:val="006B32BF"/>
    <w:rsid w:val="006B553C"/>
    <w:rsid w:val="006C1DA2"/>
    <w:rsid w:val="006C4469"/>
    <w:rsid w:val="006C7814"/>
    <w:rsid w:val="006D1FB6"/>
    <w:rsid w:val="006D2E66"/>
    <w:rsid w:val="006E1AD5"/>
    <w:rsid w:val="006E42BE"/>
    <w:rsid w:val="006E5F92"/>
    <w:rsid w:val="006E70E0"/>
    <w:rsid w:val="006F252B"/>
    <w:rsid w:val="006F30F9"/>
    <w:rsid w:val="006F6FD3"/>
    <w:rsid w:val="00703563"/>
    <w:rsid w:val="00703FE8"/>
    <w:rsid w:val="00707A36"/>
    <w:rsid w:val="00711611"/>
    <w:rsid w:val="00713645"/>
    <w:rsid w:val="00724580"/>
    <w:rsid w:val="00725A9C"/>
    <w:rsid w:val="00725D96"/>
    <w:rsid w:val="007267B0"/>
    <w:rsid w:val="007343E4"/>
    <w:rsid w:val="00736D19"/>
    <w:rsid w:val="00757654"/>
    <w:rsid w:val="00762973"/>
    <w:rsid w:val="00767642"/>
    <w:rsid w:val="0076790A"/>
    <w:rsid w:val="0077019D"/>
    <w:rsid w:val="00771186"/>
    <w:rsid w:val="0077279F"/>
    <w:rsid w:val="00776486"/>
    <w:rsid w:val="00780C16"/>
    <w:rsid w:val="007821CE"/>
    <w:rsid w:val="00785225"/>
    <w:rsid w:val="007857A5"/>
    <w:rsid w:val="007859DE"/>
    <w:rsid w:val="00794C08"/>
    <w:rsid w:val="00795F19"/>
    <w:rsid w:val="007A05DD"/>
    <w:rsid w:val="007A19F5"/>
    <w:rsid w:val="007A6FB5"/>
    <w:rsid w:val="007A7A64"/>
    <w:rsid w:val="007B1ED3"/>
    <w:rsid w:val="007B5434"/>
    <w:rsid w:val="007B5756"/>
    <w:rsid w:val="007B7A0F"/>
    <w:rsid w:val="007C0BB9"/>
    <w:rsid w:val="007D4B70"/>
    <w:rsid w:val="007E0D9C"/>
    <w:rsid w:val="007F14D9"/>
    <w:rsid w:val="007F692A"/>
    <w:rsid w:val="00803174"/>
    <w:rsid w:val="00812433"/>
    <w:rsid w:val="00813796"/>
    <w:rsid w:val="008160DC"/>
    <w:rsid w:val="0082237A"/>
    <w:rsid w:val="00823A36"/>
    <w:rsid w:val="00823A77"/>
    <w:rsid w:val="008347D4"/>
    <w:rsid w:val="0083683A"/>
    <w:rsid w:val="00850657"/>
    <w:rsid w:val="00853354"/>
    <w:rsid w:val="00853708"/>
    <w:rsid w:val="00853C8C"/>
    <w:rsid w:val="0085586C"/>
    <w:rsid w:val="00867570"/>
    <w:rsid w:val="00873AF3"/>
    <w:rsid w:val="00886272"/>
    <w:rsid w:val="00890B53"/>
    <w:rsid w:val="00893835"/>
    <w:rsid w:val="00894A70"/>
    <w:rsid w:val="008A4370"/>
    <w:rsid w:val="008A6D0D"/>
    <w:rsid w:val="008B00CF"/>
    <w:rsid w:val="008B25A1"/>
    <w:rsid w:val="008C0B14"/>
    <w:rsid w:val="008C6624"/>
    <w:rsid w:val="008D6D6C"/>
    <w:rsid w:val="008E08BD"/>
    <w:rsid w:val="008E2DF7"/>
    <w:rsid w:val="008E690F"/>
    <w:rsid w:val="008F62C6"/>
    <w:rsid w:val="008F6D4A"/>
    <w:rsid w:val="0090100C"/>
    <w:rsid w:val="009018ED"/>
    <w:rsid w:val="00902733"/>
    <w:rsid w:val="00911627"/>
    <w:rsid w:val="009118EB"/>
    <w:rsid w:val="00912A7D"/>
    <w:rsid w:val="00912E06"/>
    <w:rsid w:val="009218A0"/>
    <w:rsid w:val="00924FC4"/>
    <w:rsid w:val="00925C47"/>
    <w:rsid w:val="009274B1"/>
    <w:rsid w:val="00931558"/>
    <w:rsid w:val="00942253"/>
    <w:rsid w:val="00943C50"/>
    <w:rsid w:val="00943D59"/>
    <w:rsid w:val="00943FB1"/>
    <w:rsid w:val="00947F8B"/>
    <w:rsid w:val="00952A04"/>
    <w:rsid w:val="009552B6"/>
    <w:rsid w:val="00955B57"/>
    <w:rsid w:val="0095721B"/>
    <w:rsid w:val="009626AA"/>
    <w:rsid w:val="00966A06"/>
    <w:rsid w:val="009705BF"/>
    <w:rsid w:val="009720D4"/>
    <w:rsid w:val="00977677"/>
    <w:rsid w:val="00977EB0"/>
    <w:rsid w:val="00983BB1"/>
    <w:rsid w:val="009846FE"/>
    <w:rsid w:val="0099166A"/>
    <w:rsid w:val="00991B3C"/>
    <w:rsid w:val="0099780B"/>
    <w:rsid w:val="00997FEA"/>
    <w:rsid w:val="009A0FBA"/>
    <w:rsid w:val="009A239B"/>
    <w:rsid w:val="009B1A43"/>
    <w:rsid w:val="009B244C"/>
    <w:rsid w:val="009B24F7"/>
    <w:rsid w:val="009B2C09"/>
    <w:rsid w:val="009B336E"/>
    <w:rsid w:val="009B6D5D"/>
    <w:rsid w:val="009C4FC2"/>
    <w:rsid w:val="009C5D34"/>
    <w:rsid w:val="009D1438"/>
    <w:rsid w:val="009D2B4D"/>
    <w:rsid w:val="009D4E67"/>
    <w:rsid w:val="009D7CD6"/>
    <w:rsid w:val="009E0789"/>
    <w:rsid w:val="009E0CB4"/>
    <w:rsid w:val="009F05B3"/>
    <w:rsid w:val="009F0D64"/>
    <w:rsid w:val="00A02822"/>
    <w:rsid w:val="00A0426E"/>
    <w:rsid w:val="00A1332D"/>
    <w:rsid w:val="00A149B2"/>
    <w:rsid w:val="00A20DDC"/>
    <w:rsid w:val="00A2700F"/>
    <w:rsid w:val="00A3207D"/>
    <w:rsid w:val="00A359C5"/>
    <w:rsid w:val="00A4027A"/>
    <w:rsid w:val="00A40B9C"/>
    <w:rsid w:val="00A40F78"/>
    <w:rsid w:val="00A46AF9"/>
    <w:rsid w:val="00A50EB9"/>
    <w:rsid w:val="00A65089"/>
    <w:rsid w:val="00A658DD"/>
    <w:rsid w:val="00A66D1D"/>
    <w:rsid w:val="00A72E48"/>
    <w:rsid w:val="00A731D6"/>
    <w:rsid w:val="00A74A1C"/>
    <w:rsid w:val="00A808E8"/>
    <w:rsid w:val="00A811B9"/>
    <w:rsid w:val="00A82E1A"/>
    <w:rsid w:val="00A8415F"/>
    <w:rsid w:val="00A85906"/>
    <w:rsid w:val="00A92D42"/>
    <w:rsid w:val="00A946A4"/>
    <w:rsid w:val="00A94C72"/>
    <w:rsid w:val="00A96E77"/>
    <w:rsid w:val="00AA2BA6"/>
    <w:rsid w:val="00AB10F0"/>
    <w:rsid w:val="00AB3F57"/>
    <w:rsid w:val="00AC109F"/>
    <w:rsid w:val="00AC1FA2"/>
    <w:rsid w:val="00AC41E1"/>
    <w:rsid w:val="00AC73B4"/>
    <w:rsid w:val="00AD6A6E"/>
    <w:rsid w:val="00AE6C33"/>
    <w:rsid w:val="00AF1984"/>
    <w:rsid w:val="00AF2511"/>
    <w:rsid w:val="00AF551E"/>
    <w:rsid w:val="00AF5E64"/>
    <w:rsid w:val="00B01BCE"/>
    <w:rsid w:val="00B04B38"/>
    <w:rsid w:val="00B04C61"/>
    <w:rsid w:val="00B15EED"/>
    <w:rsid w:val="00B17CAA"/>
    <w:rsid w:val="00B233C7"/>
    <w:rsid w:val="00B24D61"/>
    <w:rsid w:val="00B26E5A"/>
    <w:rsid w:val="00B319CB"/>
    <w:rsid w:val="00B367B0"/>
    <w:rsid w:val="00B43348"/>
    <w:rsid w:val="00B575E8"/>
    <w:rsid w:val="00B6147D"/>
    <w:rsid w:val="00B64B19"/>
    <w:rsid w:val="00B7153F"/>
    <w:rsid w:val="00B72251"/>
    <w:rsid w:val="00B76681"/>
    <w:rsid w:val="00B80F86"/>
    <w:rsid w:val="00B81624"/>
    <w:rsid w:val="00B81B47"/>
    <w:rsid w:val="00B83323"/>
    <w:rsid w:val="00B86DE5"/>
    <w:rsid w:val="00B93754"/>
    <w:rsid w:val="00B96C07"/>
    <w:rsid w:val="00BB4562"/>
    <w:rsid w:val="00BB552B"/>
    <w:rsid w:val="00BB6AEC"/>
    <w:rsid w:val="00BB7C11"/>
    <w:rsid w:val="00BD1240"/>
    <w:rsid w:val="00BD43BD"/>
    <w:rsid w:val="00BE1744"/>
    <w:rsid w:val="00BE4344"/>
    <w:rsid w:val="00BE454B"/>
    <w:rsid w:val="00BF00BF"/>
    <w:rsid w:val="00BF611F"/>
    <w:rsid w:val="00C028BB"/>
    <w:rsid w:val="00C1141E"/>
    <w:rsid w:val="00C1299E"/>
    <w:rsid w:val="00C15E82"/>
    <w:rsid w:val="00C16A14"/>
    <w:rsid w:val="00C21063"/>
    <w:rsid w:val="00C22027"/>
    <w:rsid w:val="00C239CE"/>
    <w:rsid w:val="00C2689A"/>
    <w:rsid w:val="00C34061"/>
    <w:rsid w:val="00C43699"/>
    <w:rsid w:val="00C44EBB"/>
    <w:rsid w:val="00C471D9"/>
    <w:rsid w:val="00C47B4F"/>
    <w:rsid w:val="00C531B9"/>
    <w:rsid w:val="00C5465A"/>
    <w:rsid w:val="00C56667"/>
    <w:rsid w:val="00C56CEB"/>
    <w:rsid w:val="00C570EE"/>
    <w:rsid w:val="00C579D3"/>
    <w:rsid w:val="00C61008"/>
    <w:rsid w:val="00C61F8D"/>
    <w:rsid w:val="00C67D75"/>
    <w:rsid w:val="00C72273"/>
    <w:rsid w:val="00C82D9E"/>
    <w:rsid w:val="00C8316D"/>
    <w:rsid w:val="00C85989"/>
    <w:rsid w:val="00C8660D"/>
    <w:rsid w:val="00C869DC"/>
    <w:rsid w:val="00C9370A"/>
    <w:rsid w:val="00C94EA7"/>
    <w:rsid w:val="00C96527"/>
    <w:rsid w:val="00CA2A6B"/>
    <w:rsid w:val="00CA624A"/>
    <w:rsid w:val="00CB25B2"/>
    <w:rsid w:val="00CB2CB4"/>
    <w:rsid w:val="00CB70A4"/>
    <w:rsid w:val="00CB7D02"/>
    <w:rsid w:val="00CC4AF2"/>
    <w:rsid w:val="00CD0CD0"/>
    <w:rsid w:val="00CE00BB"/>
    <w:rsid w:val="00CE6157"/>
    <w:rsid w:val="00CE69D4"/>
    <w:rsid w:val="00CF2894"/>
    <w:rsid w:val="00CF6EC3"/>
    <w:rsid w:val="00D112A5"/>
    <w:rsid w:val="00D11C5A"/>
    <w:rsid w:val="00D15AFD"/>
    <w:rsid w:val="00D270D0"/>
    <w:rsid w:val="00D27898"/>
    <w:rsid w:val="00D33274"/>
    <w:rsid w:val="00D37DE7"/>
    <w:rsid w:val="00D4000E"/>
    <w:rsid w:val="00D411B8"/>
    <w:rsid w:val="00D41C8A"/>
    <w:rsid w:val="00D440D1"/>
    <w:rsid w:val="00D4468C"/>
    <w:rsid w:val="00D45A9A"/>
    <w:rsid w:val="00D504EF"/>
    <w:rsid w:val="00D5415E"/>
    <w:rsid w:val="00D56473"/>
    <w:rsid w:val="00D6030F"/>
    <w:rsid w:val="00D61D89"/>
    <w:rsid w:val="00D70E44"/>
    <w:rsid w:val="00D716CE"/>
    <w:rsid w:val="00D77060"/>
    <w:rsid w:val="00D84662"/>
    <w:rsid w:val="00D85E23"/>
    <w:rsid w:val="00D90D7E"/>
    <w:rsid w:val="00D91A0A"/>
    <w:rsid w:val="00D9446D"/>
    <w:rsid w:val="00D97C20"/>
    <w:rsid w:val="00DA352A"/>
    <w:rsid w:val="00DA6EA4"/>
    <w:rsid w:val="00DB38B6"/>
    <w:rsid w:val="00DC00B3"/>
    <w:rsid w:val="00DC3A9E"/>
    <w:rsid w:val="00DC4FB1"/>
    <w:rsid w:val="00DC548F"/>
    <w:rsid w:val="00DC5D34"/>
    <w:rsid w:val="00DC6E4E"/>
    <w:rsid w:val="00DD1438"/>
    <w:rsid w:val="00DF2A57"/>
    <w:rsid w:val="00DF56B1"/>
    <w:rsid w:val="00DF62E9"/>
    <w:rsid w:val="00E031FF"/>
    <w:rsid w:val="00E04D99"/>
    <w:rsid w:val="00E10C74"/>
    <w:rsid w:val="00E14A6D"/>
    <w:rsid w:val="00E150C0"/>
    <w:rsid w:val="00E17DB2"/>
    <w:rsid w:val="00E26D26"/>
    <w:rsid w:val="00E369CA"/>
    <w:rsid w:val="00E3707D"/>
    <w:rsid w:val="00E42E83"/>
    <w:rsid w:val="00E44590"/>
    <w:rsid w:val="00E47186"/>
    <w:rsid w:val="00E47620"/>
    <w:rsid w:val="00E50A72"/>
    <w:rsid w:val="00E52E5B"/>
    <w:rsid w:val="00E66933"/>
    <w:rsid w:val="00E67006"/>
    <w:rsid w:val="00E703EA"/>
    <w:rsid w:val="00E70CE8"/>
    <w:rsid w:val="00E74DB1"/>
    <w:rsid w:val="00E764E8"/>
    <w:rsid w:val="00E82E4A"/>
    <w:rsid w:val="00E90C7B"/>
    <w:rsid w:val="00EA3EC0"/>
    <w:rsid w:val="00EB0446"/>
    <w:rsid w:val="00EB386B"/>
    <w:rsid w:val="00EB4787"/>
    <w:rsid w:val="00EC10E7"/>
    <w:rsid w:val="00EC2D9B"/>
    <w:rsid w:val="00ED3F1A"/>
    <w:rsid w:val="00ED6E2D"/>
    <w:rsid w:val="00ED7E0C"/>
    <w:rsid w:val="00ED7F16"/>
    <w:rsid w:val="00EE036C"/>
    <w:rsid w:val="00EF0212"/>
    <w:rsid w:val="00EF09C2"/>
    <w:rsid w:val="00EF13CE"/>
    <w:rsid w:val="00F10F7D"/>
    <w:rsid w:val="00F13D96"/>
    <w:rsid w:val="00F17300"/>
    <w:rsid w:val="00F329E8"/>
    <w:rsid w:val="00F32BB7"/>
    <w:rsid w:val="00F32CF2"/>
    <w:rsid w:val="00F34CC6"/>
    <w:rsid w:val="00F3550A"/>
    <w:rsid w:val="00F518EC"/>
    <w:rsid w:val="00F550EC"/>
    <w:rsid w:val="00F566B5"/>
    <w:rsid w:val="00F60E8E"/>
    <w:rsid w:val="00F669F0"/>
    <w:rsid w:val="00F755DA"/>
    <w:rsid w:val="00F7563C"/>
    <w:rsid w:val="00F844FC"/>
    <w:rsid w:val="00F8497E"/>
    <w:rsid w:val="00F860D4"/>
    <w:rsid w:val="00F86FBF"/>
    <w:rsid w:val="00F87C16"/>
    <w:rsid w:val="00F96233"/>
    <w:rsid w:val="00F96DEA"/>
    <w:rsid w:val="00FA5C7E"/>
    <w:rsid w:val="00FA6F7D"/>
    <w:rsid w:val="00FA732C"/>
    <w:rsid w:val="00FB09F1"/>
    <w:rsid w:val="00FB2AD5"/>
    <w:rsid w:val="00FB4430"/>
    <w:rsid w:val="00FC16BA"/>
    <w:rsid w:val="00FC219C"/>
    <w:rsid w:val="00FC2542"/>
    <w:rsid w:val="00FC4E05"/>
    <w:rsid w:val="00FD4420"/>
    <w:rsid w:val="00FE4586"/>
    <w:rsid w:val="00FE79F4"/>
    <w:rsid w:val="00FF0B00"/>
    <w:rsid w:val="00FF1A8E"/>
    <w:rsid w:val="00FF6E7F"/>
    <w:rsid w:val="03B75BBB"/>
    <w:rsid w:val="03DA7F1B"/>
    <w:rsid w:val="07293468"/>
    <w:rsid w:val="09B73708"/>
    <w:rsid w:val="16A80A67"/>
    <w:rsid w:val="16B95B49"/>
    <w:rsid w:val="1B98034E"/>
    <w:rsid w:val="1ED55FCE"/>
    <w:rsid w:val="20994990"/>
    <w:rsid w:val="24A26668"/>
    <w:rsid w:val="254346A5"/>
    <w:rsid w:val="269E6890"/>
    <w:rsid w:val="26E24608"/>
    <w:rsid w:val="27F91AEF"/>
    <w:rsid w:val="2A573F4D"/>
    <w:rsid w:val="2BEB7290"/>
    <w:rsid w:val="2D572E17"/>
    <w:rsid w:val="2DAF19F2"/>
    <w:rsid w:val="2F7E78F5"/>
    <w:rsid w:val="2FE86A15"/>
    <w:rsid w:val="32F142B2"/>
    <w:rsid w:val="35026ADF"/>
    <w:rsid w:val="365562EA"/>
    <w:rsid w:val="36880601"/>
    <w:rsid w:val="36F87E4B"/>
    <w:rsid w:val="38DB0B2B"/>
    <w:rsid w:val="39C77F6D"/>
    <w:rsid w:val="3E5E482B"/>
    <w:rsid w:val="415E42C3"/>
    <w:rsid w:val="42C525EA"/>
    <w:rsid w:val="43F63496"/>
    <w:rsid w:val="448C48DC"/>
    <w:rsid w:val="488E239A"/>
    <w:rsid w:val="496F7722"/>
    <w:rsid w:val="4D08486D"/>
    <w:rsid w:val="4E4E7977"/>
    <w:rsid w:val="4EFD4139"/>
    <w:rsid w:val="5092004B"/>
    <w:rsid w:val="542821FB"/>
    <w:rsid w:val="56BE27D4"/>
    <w:rsid w:val="5BD952F1"/>
    <w:rsid w:val="668A798A"/>
    <w:rsid w:val="6A177135"/>
    <w:rsid w:val="6BA27D65"/>
    <w:rsid w:val="6C906D82"/>
    <w:rsid w:val="6FDF4E86"/>
    <w:rsid w:val="6FF7281E"/>
    <w:rsid w:val="72EF5131"/>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val="0"/>
      <w:suppressAutoHyphens/>
    </w:pPr>
    <w:rPr>
      <w:rFonts w:ascii="Times New Roman" w:hAnsi="Times New Roman" w:eastAsia="Arial Unicode MS" w:cs="Times New Roman"/>
      <w:sz w:val="24"/>
      <w:lang w:val="pt-BR" w:eastAsia="pt-BR" w:bidi="ar-SA"/>
    </w:rPr>
  </w:style>
  <w:style w:type="paragraph" w:styleId="2">
    <w:name w:val="heading 1"/>
    <w:basedOn w:val="1"/>
    <w:next w:val="1"/>
    <w:link w:val="55"/>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qFormat/>
    <w:uiPriority w:val="0"/>
    <w:pPr>
      <w:keepNext/>
      <w:jc w:val="both"/>
      <w:outlineLvl w:val="1"/>
    </w:pPr>
    <w:rPr>
      <w:b/>
      <w:bCs/>
    </w:rPr>
  </w:style>
  <w:style w:type="paragraph" w:styleId="4">
    <w:name w:val="heading 3"/>
    <w:basedOn w:val="1"/>
    <w:next w:val="1"/>
    <w:qFormat/>
    <w:uiPriority w:val="0"/>
    <w:pPr>
      <w:keepNext/>
      <w:tabs>
        <w:tab w:val="left" w:pos="8820"/>
      </w:tabs>
      <w:ind w:right="18"/>
      <w:jc w:val="both"/>
      <w:outlineLvl w:val="2"/>
    </w:pPr>
    <w:rPr>
      <w:b/>
    </w:rPr>
  </w:style>
  <w:style w:type="paragraph" w:styleId="5">
    <w:name w:val="heading 4"/>
    <w:basedOn w:val="1"/>
    <w:next w:val="1"/>
    <w:qFormat/>
    <w:uiPriority w:val="0"/>
    <w:pPr>
      <w:keepNext/>
      <w:shd w:val="clear" w:color="auto" w:fill="FFFFFF"/>
      <w:jc w:val="both"/>
      <w:outlineLvl w:val="3"/>
    </w:pPr>
    <w:rPr>
      <w:b/>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2"/>
    <w:qFormat/>
    <w:uiPriority w:val="0"/>
    <w:pPr>
      <w:spacing w:after="120"/>
    </w:pPr>
  </w:style>
  <w:style w:type="paragraph" w:styleId="7">
    <w:name w:val="annotation text"/>
    <w:basedOn w:val="1"/>
    <w:link w:val="33"/>
    <w:qFormat/>
    <w:uiPriority w:val="0"/>
    <w:rPr>
      <w:szCs w:val="24"/>
    </w:rPr>
  </w:style>
  <w:style w:type="paragraph" w:styleId="8">
    <w:name w:val="Normal (Web)"/>
    <w:basedOn w:val="1"/>
    <w:qFormat/>
    <w:uiPriority w:val="99"/>
    <w:pPr>
      <w:widowControl/>
      <w:suppressAutoHyphens w:val="0"/>
      <w:spacing w:before="100" w:beforeAutospacing="1" w:after="100" w:afterAutospacing="1"/>
    </w:pPr>
    <w:rPr>
      <w:rFonts w:eastAsia="Times New Roman"/>
      <w:szCs w:val="24"/>
    </w:rPr>
  </w:style>
  <w:style w:type="paragraph" w:styleId="9">
    <w:name w:val="header"/>
    <w:basedOn w:val="1"/>
    <w:qFormat/>
    <w:uiPriority w:val="0"/>
    <w:pPr>
      <w:widowControl/>
      <w:tabs>
        <w:tab w:val="center" w:pos="4419"/>
        <w:tab w:val="right" w:pos="8838"/>
      </w:tabs>
    </w:pPr>
    <w:rPr>
      <w:rFonts w:eastAsia="Times New Roman"/>
      <w:sz w:val="20"/>
    </w:rPr>
  </w:style>
  <w:style w:type="paragraph" w:styleId="10">
    <w:name w:val="annotation subject"/>
    <w:basedOn w:val="7"/>
    <w:next w:val="7"/>
    <w:link w:val="34"/>
    <w:qFormat/>
    <w:uiPriority w:val="0"/>
    <w:rPr>
      <w:b/>
      <w:bCs/>
      <w:sz w:val="20"/>
      <w:szCs w:val="20"/>
    </w:rPr>
  </w:style>
  <w:style w:type="paragraph" w:styleId="11">
    <w:name w:val="footer"/>
    <w:basedOn w:val="1"/>
    <w:link w:val="35"/>
    <w:unhideWhenUsed/>
    <w:qFormat/>
    <w:uiPriority w:val="0"/>
    <w:pPr>
      <w:tabs>
        <w:tab w:val="center" w:pos="4252"/>
        <w:tab w:val="right" w:pos="8504"/>
      </w:tabs>
    </w:pPr>
  </w:style>
  <w:style w:type="paragraph" w:styleId="12">
    <w:name w:val="Balloon Text"/>
    <w:basedOn w:val="1"/>
    <w:semiHidden/>
    <w:qFormat/>
    <w:uiPriority w:val="0"/>
    <w:rPr>
      <w:rFonts w:ascii="Tahoma" w:hAnsi="Tahoma" w:cs="Tahoma"/>
      <w:sz w:val="16"/>
      <w:szCs w:val="16"/>
    </w:rPr>
  </w:style>
  <w:style w:type="paragraph" w:styleId="13">
    <w:name w:val="footnote text"/>
    <w:basedOn w:val="1"/>
    <w:semiHidden/>
    <w:qFormat/>
    <w:uiPriority w:val="0"/>
    <w:pPr>
      <w:suppressLineNumbers/>
      <w:ind w:left="283" w:hanging="283"/>
    </w:pPr>
    <w:rPr>
      <w:sz w:val="20"/>
    </w:rPr>
  </w:style>
  <w:style w:type="character" w:styleId="15">
    <w:name w:val="Strong"/>
    <w:basedOn w:val="14"/>
    <w:qFormat/>
    <w:uiPriority w:val="22"/>
    <w:rPr>
      <w:b/>
      <w:bCs/>
    </w:rPr>
  </w:style>
  <w:style w:type="character" w:styleId="16">
    <w:name w:val="annotation reference"/>
    <w:basedOn w:val="14"/>
    <w:qFormat/>
    <w:uiPriority w:val="0"/>
    <w:rPr>
      <w:sz w:val="18"/>
      <w:szCs w:val="18"/>
    </w:rPr>
  </w:style>
  <w:style w:type="character" w:styleId="17">
    <w:name w:val="Hyperlink"/>
    <w:qFormat/>
    <w:uiPriority w:val="0"/>
    <w:rPr>
      <w:color w:val="0000FF"/>
      <w:u w:val="single"/>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
    <w:name w:val="WW-Caracteres de Nota de Rodapé121"/>
    <w:qFormat/>
    <w:uiPriority w:val="0"/>
    <w:rPr>
      <w:vertAlign w:val="superscript"/>
    </w:rPr>
  </w:style>
  <w:style w:type="character" w:customStyle="1" w:styleId="21">
    <w:name w:val="Caracteres de Nota de Rodapé"/>
    <w:qFormat/>
    <w:uiPriority w:val="0"/>
  </w:style>
  <w:style w:type="paragraph" w:customStyle="1" w:styleId="22">
    <w:name w:val="WW-Texto simples"/>
    <w:basedOn w:val="1"/>
    <w:qFormat/>
    <w:uiPriority w:val="0"/>
    <w:rPr>
      <w:rFonts w:ascii="Courier New" w:hAnsi="Courier New"/>
      <w:sz w:val="20"/>
    </w:rPr>
  </w:style>
  <w:style w:type="paragraph" w:customStyle="1" w:styleId="23">
    <w:name w:val="WW-Corpo de texto 2"/>
    <w:basedOn w:val="1"/>
    <w:qFormat/>
    <w:uiPriority w:val="0"/>
    <w:pPr>
      <w:jc w:val="both"/>
    </w:pPr>
    <w:rPr>
      <w:b/>
      <w:bCs/>
    </w:rPr>
  </w:style>
  <w:style w:type="paragraph" w:customStyle="1" w:styleId="24">
    <w:name w:val="WW-Corpo de texto 3"/>
    <w:basedOn w:val="1"/>
    <w:qFormat/>
    <w:uiPriority w:val="0"/>
    <w:pPr>
      <w:tabs>
        <w:tab w:val="left" w:pos="8820"/>
      </w:tabs>
      <w:spacing w:line="360" w:lineRule="auto"/>
      <w:ind w:right="18"/>
      <w:jc w:val="both"/>
    </w:pPr>
  </w:style>
  <w:style w:type="paragraph" w:customStyle="1" w:styleId="25">
    <w:name w:val="WW-Normal (Web)"/>
    <w:basedOn w:val="1"/>
    <w:qFormat/>
    <w:uiPriority w:val="0"/>
    <w:pPr>
      <w:spacing w:before="280" w:after="280"/>
    </w:pPr>
    <w:rPr>
      <w:rFonts w:ascii="Arial Unicode MS" w:hAnsi="Arial Unicode MS" w:cs="Arial Unicode MS"/>
    </w:rPr>
  </w:style>
  <w:style w:type="paragraph" w:styleId="26">
    <w:name w:val="Quote"/>
    <w:basedOn w:val="1"/>
    <w:next w:val="1"/>
    <w:link w:val="27"/>
    <w:qFormat/>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cs="Tahoma"/>
      <w:i/>
      <w:iCs/>
      <w:color w:val="000000"/>
      <w:sz w:val="20"/>
      <w:szCs w:val="24"/>
      <w:lang w:eastAsia="en-US"/>
    </w:rPr>
  </w:style>
  <w:style w:type="character" w:customStyle="1" w:styleId="27">
    <w:name w:val="Citação Char"/>
    <w:link w:val="26"/>
    <w:qFormat/>
    <w:uiPriority w:val="0"/>
    <w:rPr>
      <w:rFonts w:ascii="Ecofont_Spranq_eco_Sans" w:hAnsi="Ecofont_Spranq_eco_Sans" w:eastAsia="Calibri" w:cs="Tahoma"/>
      <w:i/>
      <w:iCs/>
      <w:color w:val="000000"/>
      <w:szCs w:val="24"/>
      <w:lang w:val="pt-BR" w:eastAsia="en-US" w:bidi="ar-SA"/>
    </w:rPr>
  </w:style>
  <w:style w:type="paragraph" w:customStyle="1" w:styleId="28">
    <w:name w:val="Grade Colorida - Ênfase 11"/>
    <w:basedOn w:val="1"/>
    <w:next w:val="1"/>
    <w:link w:val="29"/>
    <w:qFormat/>
    <w:uiPriority w:val="29"/>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i/>
      <w:iCs/>
      <w:color w:val="000000"/>
      <w:sz w:val="20"/>
      <w:szCs w:val="24"/>
      <w:lang w:val="zh-CN" w:eastAsia="en-US"/>
    </w:rPr>
  </w:style>
  <w:style w:type="character" w:customStyle="1" w:styleId="29">
    <w:name w:val="Grade Colorida - Ênfase 1 Char"/>
    <w:link w:val="28"/>
    <w:qFormat/>
    <w:uiPriority w:val="29"/>
    <w:rPr>
      <w:rFonts w:ascii="Ecofont_Spranq_eco_Sans" w:hAnsi="Ecofont_Spranq_eco_Sans" w:eastAsia="Calibri" w:cs="Tahoma"/>
      <w:i/>
      <w:iCs/>
      <w:color w:val="000000"/>
      <w:szCs w:val="24"/>
      <w:shd w:val="clear" w:color="auto" w:fill="FFFFCC"/>
      <w:lang w:eastAsia="en-US"/>
    </w:rPr>
  </w:style>
  <w:style w:type="paragraph" w:styleId="30">
    <w:name w:val="List Paragraph"/>
    <w:basedOn w:val="1"/>
    <w:qFormat/>
    <w:uiPriority w:val="34"/>
    <w:pPr>
      <w:ind w:left="720"/>
      <w:contextualSpacing/>
    </w:pPr>
  </w:style>
  <w:style w:type="character" w:customStyle="1" w:styleId="31">
    <w:name w:val="Manoel"/>
    <w:qFormat/>
    <w:uiPriority w:val="0"/>
    <w:rPr>
      <w:rFonts w:ascii="Arial" w:hAnsi="Arial" w:cs="Arial"/>
      <w:color w:val="7030A0"/>
      <w:sz w:val="20"/>
    </w:rPr>
  </w:style>
  <w:style w:type="character" w:customStyle="1" w:styleId="32">
    <w:name w:val="Corpo de texto Char"/>
    <w:link w:val="6"/>
    <w:qFormat/>
    <w:uiPriority w:val="0"/>
    <w:rPr>
      <w:rFonts w:eastAsia="Arial Unicode MS"/>
      <w:sz w:val="24"/>
    </w:rPr>
  </w:style>
  <w:style w:type="character" w:customStyle="1" w:styleId="33">
    <w:name w:val="Texto de comentário Char"/>
    <w:basedOn w:val="14"/>
    <w:link w:val="7"/>
    <w:qFormat/>
    <w:uiPriority w:val="0"/>
    <w:rPr>
      <w:rFonts w:eastAsia="Arial Unicode MS"/>
      <w:sz w:val="24"/>
      <w:szCs w:val="24"/>
    </w:rPr>
  </w:style>
  <w:style w:type="character" w:customStyle="1" w:styleId="34">
    <w:name w:val="Assunto do comentário Char"/>
    <w:basedOn w:val="33"/>
    <w:link w:val="10"/>
    <w:qFormat/>
    <w:uiPriority w:val="0"/>
    <w:rPr>
      <w:rFonts w:eastAsia="Arial Unicode MS"/>
      <w:b/>
      <w:bCs/>
      <w:sz w:val="24"/>
      <w:szCs w:val="24"/>
    </w:rPr>
  </w:style>
  <w:style w:type="character" w:customStyle="1" w:styleId="35">
    <w:name w:val="Rodapé Char"/>
    <w:basedOn w:val="14"/>
    <w:link w:val="11"/>
    <w:qFormat/>
    <w:uiPriority w:val="0"/>
    <w:rPr>
      <w:rFonts w:eastAsia="Arial Unicode MS"/>
      <w:sz w:val="24"/>
    </w:rPr>
  </w:style>
  <w:style w:type="paragraph" w:customStyle="1" w:styleId="36">
    <w:name w:val="Nivel 2"/>
    <w:link w:val="44"/>
    <w:qFormat/>
    <w:uiPriority w:val="0"/>
    <w:pPr>
      <w:numPr>
        <w:ilvl w:val="1"/>
        <w:numId w:val="1"/>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37">
    <w:name w:val="Nivel 1"/>
    <w:basedOn w:val="36"/>
    <w:next w:val="36"/>
    <w:link w:val="45"/>
    <w:qFormat/>
    <w:uiPriority w:val="0"/>
    <w:pPr>
      <w:numPr>
        <w:ilvl w:val="0"/>
      </w:numPr>
    </w:pPr>
    <w:rPr>
      <w:rFonts w:cs="Arial"/>
      <w:b/>
    </w:rPr>
  </w:style>
  <w:style w:type="paragraph" w:customStyle="1" w:styleId="38">
    <w:name w:val="Nivel 3"/>
    <w:basedOn w:val="36"/>
    <w:link w:val="42"/>
    <w:qFormat/>
    <w:uiPriority w:val="0"/>
    <w:pPr>
      <w:numPr>
        <w:ilvl w:val="2"/>
      </w:numPr>
    </w:pPr>
    <w:rPr>
      <w:rFonts w:cs="Arial"/>
      <w:color w:val="000000"/>
    </w:rPr>
  </w:style>
  <w:style w:type="paragraph" w:customStyle="1" w:styleId="39">
    <w:name w:val="Nivel 4"/>
    <w:basedOn w:val="38"/>
    <w:link w:val="41"/>
    <w:qFormat/>
    <w:uiPriority w:val="0"/>
    <w:pPr>
      <w:numPr>
        <w:ilvl w:val="3"/>
      </w:numPr>
    </w:pPr>
    <w:rPr>
      <w:color w:val="auto"/>
    </w:rPr>
  </w:style>
  <w:style w:type="paragraph" w:customStyle="1" w:styleId="40">
    <w:name w:val="Nivel 5"/>
    <w:basedOn w:val="39"/>
    <w:link w:val="43"/>
    <w:qFormat/>
    <w:uiPriority w:val="0"/>
    <w:pPr>
      <w:numPr>
        <w:ilvl w:val="4"/>
      </w:numPr>
    </w:pPr>
  </w:style>
  <w:style w:type="character" w:customStyle="1" w:styleId="41">
    <w:name w:val="Nivel 4 Char"/>
    <w:basedOn w:val="14"/>
    <w:link w:val="39"/>
    <w:qFormat/>
    <w:uiPriority w:val="0"/>
    <w:rPr>
      <w:rFonts w:ascii="Ecofont_Spranq_eco_Sans" w:hAnsi="Ecofont_Spranq_eco_Sans" w:eastAsia="Arial Unicode MS" w:cs="Arial"/>
    </w:rPr>
  </w:style>
  <w:style w:type="character" w:customStyle="1" w:styleId="42">
    <w:name w:val="Nivel 3 Char"/>
    <w:basedOn w:val="14"/>
    <w:link w:val="38"/>
    <w:qFormat/>
    <w:uiPriority w:val="0"/>
    <w:rPr>
      <w:rFonts w:ascii="Ecofont_Spranq_eco_Sans" w:hAnsi="Ecofont_Spranq_eco_Sans" w:eastAsia="Arial Unicode MS" w:cs="Arial"/>
      <w:color w:val="000000"/>
    </w:rPr>
  </w:style>
  <w:style w:type="character" w:customStyle="1" w:styleId="43">
    <w:name w:val="Nivel 5 Char"/>
    <w:basedOn w:val="41"/>
    <w:link w:val="40"/>
    <w:qFormat/>
    <w:uiPriority w:val="0"/>
    <w:rPr>
      <w:rFonts w:ascii="Ecofont_Spranq_eco_Sans" w:hAnsi="Ecofont_Spranq_eco_Sans" w:eastAsia="Arial Unicode MS" w:cs="Arial"/>
    </w:rPr>
  </w:style>
  <w:style w:type="character" w:customStyle="1" w:styleId="44">
    <w:name w:val="Nivel 2 Char"/>
    <w:basedOn w:val="14"/>
    <w:link w:val="36"/>
    <w:qFormat/>
    <w:uiPriority w:val="0"/>
    <w:rPr>
      <w:rFonts w:ascii="Ecofont_Spranq_eco_Sans" w:hAnsi="Ecofont_Spranq_eco_Sans" w:eastAsia="Arial Unicode MS"/>
    </w:rPr>
  </w:style>
  <w:style w:type="character" w:customStyle="1" w:styleId="45">
    <w:name w:val="Nivel 1 Char"/>
    <w:basedOn w:val="44"/>
    <w:link w:val="37"/>
    <w:qFormat/>
    <w:uiPriority w:val="0"/>
    <w:rPr>
      <w:rFonts w:ascii="Ecofont_Spranq_eco_Sans" w:hAnsi="Ecofont_Spranq_eco_Sans" w:eastAsia="Arial Unicode MS" w:cs="Arial"/>
      <w:b/>
    </w:rPr>
  </w:style>
  <w:style w:type="paragraph" w:customStyle="1" w:styleId="46">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7">
    <w:name w:val="Quote Char"/>
    <w:basedOn w:val="14"/>
    <w:link w:val="48"/>
    <w:qFormat/>
    <w:uiPriority w:val="0"/>
    <w:rPr>
      <w:rFonts w:ascii="Ecofont_Spranq_eco_Sans" w:hAnsi="Ecofont_Spranq_eco_Sans" w:eastAsia="Calibri" w:cs="Tahoma"/>
      <w:i/>
      <w:iCs/>
      <w:color w:val="000000"/>
      <w:shd w:val="clear" w:color="auto" w:fill="FFFFCC"/>
      <w:lang w:eastAsia="en-US"/>
    </w:rPr>
  </w:style>
  <w:style w:type="paragraph" w:customStyle="1" w:styleId="48">
    <w:name w:val="Citação1"/>
    <w:basedOn w:val="1"/>
    <w:next w:val="1"/>
    <w:link w:val="47"/>
    <w:qFormat/>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cs="Tahoma"/>
      <w:i/>
      <w:iCs/>
      <w:color w:val="000000"/>
      <w:sz w:val="20"/>
      <w:lang w:eastAsia="en-US"/>
    </w:rPr>
  </w:style>
  <w:style w:type="character" w:customStyle="1" w:styleId="49">
    <w:name w:val="normaltextrun"/>
    <w:basedOn w:val="14"/>
    <w:qFormat/>
    <w:uiPriority w:val="0"/>
  </w:style>
  <w:style w:type="paragraph" w:customStyle="1" w:styleId="50">
    <w:name w:val="paragraph"/>
    <w:basedOn w:val="1"/>
    <w:qFormat/>
    <w:uiPriority w:val="0"/>
    <w:pPr>
      <w:widowControl/>
      <w:suppressAutoHyphens w:val="0"/>
      <w:spacing w:before="100" w:beforeAutospacing="1" w:after="100" w:afterAutospacing="1"/>
    </w:pPr>
    <w:rPr>
      <w:rFonts w:eastAsia="Times New Roman"/>
      <w:szCs w:val="24"/>
    </w:rPr>
  </w:style>
  <w:style w:type="character" w:customStyle="1" w:styleId="51">
    <w:name w:val="eop"/>
    <w:basedOn w:val="14"/>
    <w:qFormat/>
    <w:uiPriority w:val="0"/>
  </w:style>
  <w:style w:type="character" w:customStyle="1" w:styleId="52">
    <w:name w:val="spellingerror"/>
    <w:basedOn w:val="14"/>
    <w:qFormat/>
    <w:uiPriority w:val="0"/>
  </w:style>
  <w:style w:type="paragraph" w:customStyle="1" w:styleId="53">
    <w:name w:val="Nivel 01"/>
    <w:basedOn w:val="2"/>
    <w:next w:val="1"/>
    <w:link w:val="58"/>
    <w:qFormat/>
    <w:uiPriority w:val="0"/>
    <w:pPr>
      <w:widowControl/>
      <w:numPr>
        <w:ilvl w:val="0"/>
        <w:numId w:val="2"/>
      </w:numPr>
      <w:tabs>
        <w:tab w:val="left" w:pos="420"/>
        <w:tab w:val="left" w:pos="567"/>
      </w:tabs>
      <w:suppressAutoHyphens w:val="0"/>
      <w:spacing w:before="240"/>
      <w:ind w:left="0" w:firstLine="0"/>
      <w:jc w:val="both"/>
    </w:pPr>
    <w:rPr>
      <w:rFonts w:ascii="Ecofont_Spranq_eco_Sans" w:hAnsi="Ecofont_Spranq_eco_Sans" w:cs="Times New Roman"/>
      <w:color w:val="000000"/>
      <w:sz w:val="20"/>
      <w:szCs w:val="20"/>
    </w:rPr>
  </w:style>
  <w:style w:type="paragraph" w:customStyle="1" w:styleId="54">
    <w:name w:val="x_western"/>
    <w:basedOn w:val="1"/>
    <w:qFormat/>
    <w:uiPriority w:val="0"/>
    <w:pPr>
      <w:widowControl/>
      <w:suppressAutoHyphens w:val="0"/>
      <w:spacing w:before="100" w:beforeAutospacing="1" w:after="100" w:afterAutospacing="1"/>
    </w:pPr>
    <w:rPr>
      <w:rFonts w:eastAsia="Times New Roman"/>
      <w:szCs w:val="24"/>
    </w:rPr>
  </w:style>
  <w:style w:type="character" w:customStyle="1" w:styleId="55">
    <w:name w:val="Título 1 Char"/>
    <w:basedOn w:val="14"/>
    <w:link w:val="2"/>
    <w:qFormat/>
    <w:uiPriority w:val="0"/>
    <w:rPr>
      <w:rFonts w:asciiTheme="majorHAnsi" w:hAnsiTheme="majorHAnsi" w:eastAsiaTheme="majorEastAsia" w:cstheme="majorBidi"/>
      <w:b/>
      <w:bCs/>
      <w:color w:val="2E75B6" w:themeColor="accent1" w:themeShade="BF"/>
      <w:sz w:val="28"/>
      <w:szCs w:val="28"/>
    </w:rPr>
  </w:style>
  <w:style w:type="paragraph" w:customStyle="1" w:styleId="56">
    <w:name w:val="citação 2"/>
    <w:basedOn w:val="26"/>
    <w:link w:val="57"/>
    <w:qFormat/>
    <w:uiPriority w:val="0"/>
    <w:pPr>
      <w:keepNext/>
      <w:pBdr>
        <w:top w:val="single" w:color="1F497D" w:sz="4" w:space="0"/>
        <w:left w:val="single" w:color="1F497D" w:sz="4" w:space="0"/>
        <w:bottom w:val="single" w:color="1F497D" w:sz="4" w:space="0"/>
        <w:right w:val="single" w:color="1F497D" w:sz="4" w:space="0"/>
      </w:pBdr>
      <w:tabs>
        <w:tab w:val="left" w:pos="708"/>
      </w:tabs>
      <w:suppressAutoHyphens/>
      <w:overflowPunct w:val="0"/>
      <w:textAlignment w:val="baseline"/>
    </w:pPr>
  </w:style>
  <w:style w:type="character" w:customStyle="1" w:styleId="57">
    <w:name w:val="citação 2 Char"/>
    <w:basedOn w:val="27"/>
    <w:link w:val="56"/>
    <w:qFormat/>
    <w:uiPriority w:val="0"/>
    <w:rPr>
      <w:rFonts w:ascii="Ecofont_Spranq_eco_Sans" w:hAnsi="Ecofont_Spranq_eco_Sans" w:eastAsia="Calibri" w:cs="Tahoma"/>
      <w:color w:val="000000"/>
      <w:szCs w:val="24"/>
      <w:shd w:val="clear" w:color="auto" w:fill="FFFFCC"/>
      <w:lang w:val="pt-BR" w:eastAsia="en-US" w:bidi="ar-SA"/>
    </w:rPr>
  </w:style>
  <w:style w:type="character" w:customStyle="1" w:styleId="58">
    <w:name w:val="Nivel 01 Char"/>
    <w:basedOn w:val="55"/>
    <w:link w:val="53"/>
    <w:qFormat/>
    <w:uiPriority w:val="0"/>
    <w:rPr>
      <w:rFonts w:ascii="Ecofont_Spranq_eco_Sans" w:hAnsi="Ecofont_Spranq_eco_Sans" w:eastAsiaTheme="majorEastAsia" w:cstheme="majorBidi"/>
      <w:color w:val="000000"/>
      <w:sz w:val="28"/>
      <w:szCs w:val="28"/>
    </w:rPr>
  </w:style>
  <w:style w:type="character" w:customStyle="1" w:styleId="59">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8F779-3225-4133-9AFC-9B60B6B440D9}">
  <ds:schemaRefs/>
</ds:datastoreItem>
</file>

<file path=customXml/itemProps3.xml><?xml version="1.0" encoding="utf-8"?>
<ds:datastoreItem xmlns:ds="http://schemas.openxmlformats.org/officeDocument/2006/customXml" ds:itemID="{AD7FB3F1-60C0-4032-B571-4FAD1D74540F}">
  <ds:schemaRefs/>
</ds:datastoreItem>
</file>

<file path=customXml/itemProps4.xml><?xml version="1.0" encoding="utf-8"?>
<ds:datastoreItem xmlns:ds="http://schemas.openxmlformats.org/officeDocument/2006/customXml" ds:itemID="{8DEB56CD-865F-4996-B8E3-89C2E638EF81}">
  <ds:schemaRefs/>
</ds:datastoreItem>
</file>

<file path=customXml/itemProps5.xml><?xml version="1.0" encoding="utf-8"?>
<ds:datastoreItem xmlns:ds="http://schemas.openxmlformats.org/officeDocument/2006/customXml" ds:itemID="{8C3C3973-7EEF-492B-B412-CDD208878DE2}">
  <ds:schemaRefs/>
</ds:datastoreItem>
</file>

<file path=docProps/app.xml><?xml version="1.0" encoding="utf-8"?>
<Properties xmlns="http://schemas.openxmlformats.org/officeDocument/2006/extended-properties" xmlns:vt="http://schemas.openxmlformats.org/officeDocument/2006/docPropsVTypes">
  <Template>Normal</Template>
  <Company>EDUARDO DOTTI</Company>
  <Pages>39</Pages>
  <Words>19965</Words>
  <Characters>112141</Characters>
  <Lines>934</Lines>
  <Paragraphs>263</Paragraphs>
  <TotalTime>40</TotalTime>
  <ScaleCrop>false</ScaleCrop>
  <LinksUpToDate>false</LinksUpToDate>
  <CharactersWithSpaces>131843</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2020-05-22T19:17:00Z</dcterms:created>
  <dc:creator>EDUARDO DOTTI</dc:creator>
  <cp:lastModifiedBy>Compras</cp:lastModifiedBy>
  <cp:lastPrinted>2020-09-28T11:07:00Z</cp:lastPrinted>
  <dcterms:modified xsi:type="dcterms:W3CDTF">2020-11-16T12:07:25Z</dcterms:modified>
  <dc:title>HORÁRIO, DATA E LOCAL PARA A ENTREGA DA DOCUMENTAÇÃO E PROPOSTAS:</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1046-11.2.0.9739</vt:lpwstr>
  </property>
</Properties>
</file>