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lang w:eastAsia="en-US"/>
        </w:rPr>
      </w:pPr>
      <w:r>
        <w:rPr>
          <w:rFonts w:cs="Arial" w:ascii="Arial" w:hAnsi="Arial"/>
          <w:lang w:eastAsia="en-US"/>
        </w:rPr>
      </w:r>
    </w:p>
    <w:p>
      <w:pPr>
        <w:pStyle w:val="Normal"/>
        <w:spacing w:before="0" w:after="120"/>
        <w:ind w:right="-15" w:hanging="0"/>
        <w:rPr>
          <w:rFonts w:ascii="Arial" w:hAnsi="Arial" w:cs="Arial"/>
          <w:b/>
          <w:b/>
          <w:bCs/>
          <w:color w:val="000000"/>
          <w:sz w:val="20"/>
          <w:szCs w:val="20"/>
        </w:rPr>
      </w:pPr>
      <w:r>
        <w:drawing>
          <wp:anchor behindDoc="0" distT="0" distB="0" distL="114300" distR="114300" simplePos="0" locked="0" layoutInCell="1" allowOverlap="1" relativeHeight="2">
            <wp:simplePos x="0" y="0"/>
            <wp:positionH relativeFrom="column">
              <wp:posOffset>2685415</wp:posOffset>
            </wp:positionH>
            <wp:positionV relativeFrom="paragraph">
              <wp:posOffset>5715</wp:posOffset>
            </wp:positionV>
            <wp:extent cx="775335" cy="753110"/>
            <wp:effectExtent l="0" t="0" r="0" b="0"/>
            <wp:wrapSquare wrapText="bothSides"/>
            <wp:docPr id="1" name="Imagem 1" descr="Brasão da Re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ão da República"/>
                    <pic:cNvPicPr>
                      <a:picLocks noChangeAspect="1" noChangeArrowheads="1"/>
                    </pic:cNvPicPr>
                  </pic:nvPicPr>
                  <pic:blipFill>
                    <a:blip r:embed="rId2"/>
                    <a:stretch>
                      <a:fillRect/>
                    </a:stretch>
                  </pic:blipFill>
                  <pic:spPr bwMode="auto">
                    <a:xfrm>
                      <a:off x="0" y="0"/>
                      <a:ext cx="775335" cy="753110"/>
                    </a:xfrm>
                    <a:prstGeom prst="rect">
                      <a:avLst/>
                    </a:prstGeom>
                  </pic:spPr>
                </pic:pic>
              </a:graphicData>
            </a:graphic>
          </wp:anchor>
        </w:drawing>
      </w:r>
      <w:r>
        <w:rPr>
          <w:rFonts w:cs="Arial" w:ascii="Arial" w:hAnsi="Arial"/>
          <w:b/>
          <w:bCs/>
          <w:color w:val="000000"/>
          <w:sz w:val="20"/>
          <w:szCs w:val="20"/>
        </w:rPr>
        <w:br/>
      </w:r>
    </w:p>
    <w:p>
      <w:pPr>
        <w:pStyle w:val="Normal"/>
        <w:jc w:val="center"/>
        <w:rPr>
          <w:rFonts w:ascii="Arial" w:hAnsi="Arial" w:cs="Arial"/>
          <w:b/>
          <w:b/>
          <w:bCs/>
          <w:color w:val="000000"/>
          <w:sz w:val="20"/>
          <w:szCs w:val="20"/>
        </w:rPr>
      </w:pPr>
      <w:r>
        <w:rPr/>
      </w:r>
    </w:p>
    <w:p>
      <w:pPr>
        <w:pStyle w:val="Normal"/>
        <w:jc w:val="center"/>
        <w:rPr>
          <w:rFonts w:ascii="Arial" w:hAnsi="Arial" w:cs="Arial"/>
          <w:b/>
          <w:b/>
          <w:bCs/>
          <w:color w:val="000000"/>
          <w:sz w:val="20"/>
          <w:szCs w:val="20"/>
        </w:rPr>
      </w:pPr>
      <w:r>
        <w:rPr/>
      </w:r>
    </w:p>
    <w:p>
      <w:pPr>
        <w:pStyle w:val="Normal"/>
        <w:jc w:val="center"/>
        <w:rPr>
          <w:rFonts w:ascii="Arial" w:hAnsi="Arial" w:cs="Arial"/>
          <w:b/>
          <w:b/>
          <w:bCs/>
          <w:color w:val="000000"/>
          <w:sz w:val="20"/>
          <w:szCs w:val="20"/>
        </w:rPr>
      </w:pPr>
      <w:r>
        <w:rPr/>
      </w:r>
    </w:p>
    <w:p>
      <w:pPr>
        <w:pStyle w:val="Normal"/>
        <w:jc w:val="center"/>
        <w:rPr>
          <w:rFonts w:ascii="Arial" w:hAnsi="Arial" w:cs="Arial"/>
          <w:b/>
          <w:b/>
          <w:bCs/>
          <w:color w:val="000000"/>
          <w:sz w:val="20"/>
          <w:szCs w:val="20"/>
        </w:rPr>
      </w:pPr>
      <w:r>
        <w:rPr>
          <w:rFonts w:cs="Arial" w:ascii="Arial" w:hAnsi="Arial"/>
          <w:b/>
          <w:bCs/>
          <w:color w:val="000000"/>
          <w:sz w:val="20"/>
          <w:szCs w:val="20"/>
        </w:rPr>
        <w:t>PREGÃO ELETRÔNICO</w:t>
      </w:r>
    </w:p>
    <w:p>
      <w:pPr>
        <w:pStyle w:val="Normal"/>
        <w:jc w:val="center"/>
        <w:rPr>
          <w:rFonts w:ascii="Arial" w:hAnsi="Arial" w:cs="Arial"/>
          <w:b/>
          <w:b/>
          <w:bCs/>
          <w:color w:val="000000"/>
          <w:sz w:val="20"/>
          <w:szCs w:val="20"/>
        </w:rPr>
      </w:pPr>
      <w:r>
        <w:rPr>
          <w:rFonts w:cs="Arial" w:ascii="Arial" w:hAnsi="Arial"/>
          <w:b/>
          <w:bCs/>
          <w:color w:val="000000"/>
          <w:sz w:val="20"/>
          <w:szCs w:val="20"/>
        </w:rPr>
        <w:t>SISTEMA DE REGISTRO DE PREÇOS</w:t>
      </w:r>
    </w:p>
    <w:p>
      <w:pPr>
        <w:pStyle w:val="Normal"/>
        <w:jc w:val="center"/>
        <w:rPr>
          <w:rFonts w:ascii="Arial" w:hAnsi="Arial" w:cs="Arial"/>
          <w:b/>
          <w:b/>
          <w:bCs/>
          <w:i/>
          <w:i/>
          <w:sz w:val="20"/>
          <w:szCs w:val="20"/>
        </w:rPr>
      </w:pPr>
      <w:r>
        <w:rPr>
          <w:rFonts w:cs="Arial" w:ascii="Arial" w:hAnsi="Arial"/>
          <w:b/>
          <w:bCs/>
          <w:i/>
          <w:sz w:val="20"/>
          <w:szCs w:val="20"/>
        </w:rPr>
        <w:t>INSTITUTO FEDERAL DE EDUCAÇÃO, CIÊNCIA E TECNOLOGIA DE MATO GROSSO</w:t>
      </w:r>
    </w:p>
    <w:p>
      <w:pPr>
        <w:pStyle w:val="Normal"/>
        <w:jc w:val="center"/>
        <w:rPr>
          <w:rFonts w:ascii="Arial" w:hAnsi="Arial" w:cs="Arial"/>
          <w:b/>
          <w:b/>
          <w:bCs/>
          <w:i/>
          <w:i/>
          <w:sz w:val="20"/>
          <w:szCs w:val="20"/>
        </w:rPr>
      </w:pPr>
      <w:r>
        <w:rPr>
          <w:rFonts w:cs="Arial" w:ascii="Arial" w:hAnsi="Arial"/>
          <w:b/>
          <w:bCs/>
          <w:i/>
          <w:sz w:val="20"/>
          <w:szCs w:val="20"/>
        </w:rPr>
        <w:t>CAMPUS CONFRESA</w:t>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t>ANEXO II</w:t>
      </w:r>
    </w:p>
    <w:p>
      <w:pPr>
        <w:pStyle w:val="Normal"/>
        <w:jc w:val="center"/>
        <w:rPr>
          <w:rFonts w:ascii="Arial" w:hAnsi="Arial" w:cs="Arial"/>
          <w:sz w:val="20"/>
          <w:szCs w:val="20"/>
        </w:rPr>
      </w:pPr>
      <w:r>
        <w:rPr>
          <w:rFonts w:cs="Arial" w:ascii="Arial" w:hAnsi="Arial"/>
          <w:b/>
          <w:bCs/>
          <w:iCs/>
          <w:color w:val="000000"/>
          <w:sz w:val="20"/>
          <w:szCs w:val="20"/>
        </w:rPr>
        <w:t>ATA DE REGISTRO DE PREÇOS</w:t>
      </w:r>
    </w:p>
    <w:p>
      <w:pPr>
        <w:pStyle w:val="Normal"/>
        <w:widowControl w:val="false"/>
        <w:ind w:right="-30" w:hanging="0"/>
        <w:jc w:val="center"/>
        <w:rPr>
          <w:rFonts w:ascii="Arial" w:hAnsi="Arial" w:cs="Arial"/>
          <w:bCs/>
          <w:sz w:val="20"/>
          <w:szCs w:val="20"/>
        </w:rPr>
      </w:pPr>
      <w:r>
        <w:rPr>
          <w:rFonts w:cs="Arial" w:ascii="Arial" w:hAnsi="Arial"/>
          <w:bCs/>
          <w:sz w:val="20"/>
          <w:szCs w:val="20"/>
        </w:rPr>
        <w:t>N.º .........</w:t>
      </w:r>
    </w:p>
    <w:p>
      <w:pPr>
        <w:pStyle w:val="Normal"/>
        <w:widowControl w:val="false"/>
        <w:ind w:right="-30" w:hanging="0"/>
        <w:jc w:val="both"/>
        <w:rPr>
          <w:rFonts w:ascii="Arial" w:hAnsi="Arial" w:cs="Arial"/>
          <w:sz w:val="20"/>
          <w:szCs w:val="20"/>
        </w:rPr>
      </w:pPr>
      <w:r>
        <w:rPr>
          <w:rFonts w:cs="Arial" w:ascii="Arial" w:hAnsi="Arial"/>
          <w:sz w:val="20"/>
          <w:szCs w:val="20"/>
        </w:rPr>
      </w:r>
    </w:p>
    <w:p>
      <w:pPr>
        <w:pStyle w:val="Normal"/>
        <w:widowControl w:val="false"/>
        <w:tabs>
          <w:tab w:val="clear" w:pos="708"/>
          <w:tab w:val="center" w:pos="4779" w:leader="none"/>
          <w:tab w:val="right" w:pos="9198" w:leader="none"/>
        </w:tabs>
        <w:ind w:right="-28" w:hanging="0"/>
        <w:jc w:val="both"/>
        <w:rPr>
          <w:rFonts w:ascii="Arial" w:hAnsi="Arial" w:cs="Arial"/>
          <w:sz w:val="20"/>
          <w:szCs w:val="20"/>
        </w:rPr>
      </w:pPr>
      <w:r>
        <w:rPr>
          <w:rFonts w:cs="Arial" w:ascii="Arial" w:hAnsi="Arial"/>
          <w:sz w:val="20"/>
          <w:szCs w:val="20"/>
        </w:rPr>
        <w:t>O(A)......(</w:t>
      </w:r>
      <w:r>
        <w:rPr>
          <w:rFonts w:cs="Arial" w:ascii="Arial" w:hAnsi="Arial"/>
          <w:i/>
          <w:iCs/>
          <w:sz w:val="20"/>
          <w:szCs w:val="20"/>
        </w:rPr>
        <w:t>órgão ou entidade pública que gerenciará a ata de registro de preços</w:t>
      </w:r>
      <w:r>
        <w:rPr>
          <w:rFonts w:cs="Arial" w:ascii="Arial" w:hAnsi="Arial"/>
          <w:sz w:val="20"/>
          <w:szCs w:val="20"/>
        </w:rPr>
        <w:t>), com sede no(a) ......, na cidade de ........, inscrito(a) no CNPJ/MF sob o nº ....., neste ato representado(a) pelo(a) ...... (</w:t>
      </w:r>
      <w:r>
        <w:rPr>
          <w:rFonts w:cs="Arial" w:ascii="Arial" w:hAnsi="Arial"/>
          <w:i/>
          <w:iCs/>
          <w:sz w:val="20"/>
          <w:szCs w:val="20"/>
        </w:rPr>
        <w:t>cargo e nome</w:t>
      </w:r>
      <w:r>
        <w:rPr>
          <w:rFonts w:cs="Arial" w:ascii="Arial" w:hAnsi="Arial"/>
          <w:sz w:val="20"/>
          <w:szCs w:val="20"/>
        </w:rPr>
        <w:t xml:space="preserve">), nomeado(a) pela  Portaria nº ...... de ..... de ...... de 200..., publicada no ....... de ..... de ....... de ....., portador da matrícula funcional nº ...................,, considerando o julgamento da licitação na modalidade de pregão, na forma </w:t>
      </w:r>
      <w:r>
        <w:rPr>
          <w:rFonts w:cs="Arial" w:ascii="Arial" w:hAnsi="Arial"/>
          <w:iCs/>
          <w:sz w:val="20"/>
          <w:szCs w:val="20"/>
        </w:rPr>
        <w:t>eletrônica</w:t>
      </w:r>
      <w:r>
        <w:rPr>
          <w:rFonts w:cs="Arial" w:ascii="Arial" w:hAnsi="Arial"/>
          <w:sz w:val="20"/>
          <w:szCs w:val="20"/>
        </w:rPr>
        <w:t xml:space="preserve">, para REGISTRO DE PREÇOS nº ......./200...,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Pr>
          <w:rFonts w:cs="Arial" w:ascii="Arial" w:hAnsi="Arial"/>
          <w:iCs/>
          <w:sz w:val="20"/>
          <w:szCs w:val="20"/>
        </w:rPr>
        <w:t>Decreto n.º 7.892, de 23 de janeiro de 2013,</w:t>
      </w:r>
      <w:r>
        <w:rPr>
          <w:rFonts w:cs="Arial" w:ascii="Arial" w:hAnsi="Arial"/>
          <w:sz w:val="20"/>
          <w:szCs w:val="20"/>
        </w:rPr>
        <w:t xml:space="preserve"> e em conformidade com as disposições a seguir:</w:t>
      </w:r>
    </w:p>
    <w:p>
      <w:pPr>
        <w:pStyle w:val="Normal"/>
        <w:widowControl w:val="false"/>
        <w:tabs>
          <w:tab w:val="clear" w:pos="708"/>
          <w:tab w:val="center" w:pos="4779" w:leader="none"/>
          <w:tab w:val="right" w:pos="9198" w:leader="none"/>
        </w:tabs>
        <w:ind w:right="-28" w:hanging="0"/>
        <w:jc w:val="both"/>
        <w:rPr>
          <w:rFonts w:ascii="Arial" w:hAnsi="Arial" w:cs="Arial"/>
          <w:sz w:val="20"/>
          <w:szCs w:val="20"/>
        </w:rPr>
      </w:pPr>
      <w:r>
        <w:rPr>
          <w:rFonts w:cs="Arial" w:ascii="Arial" w:hAnsi="Arial"/>
          <w:sz w:val="20"/>
          <w:szCs w:val="20"/>
        </w:rPr>
      </w:r>
    </w:p>
    <w:p>
      <w:pPr>
        <w:pStyle w:val="Normal"/>
        <w:numPr>
          <w:ilvl w:val="0"/>
          <w:numId w:val="1"/>
        </w:numPr>
        <w:spacing w:lineRule="auto" w:line="276" w:before="120" w:after="120"/>
        <w:ind w:left="0" w:hanging="0"/>
        <w:jc w:val="both"/>
        <w:rPr>
          <w:rFonts w:ascii="Arial" w:hAnsi="Arial" w:cs="Arial"/>
          <w:b/>
          <w:b/>
          <w:bCs/>
          <w:sz w:val="20"/>
          <w:szCs w:val="20"/>
        </w:rPr>
      </w:pPr>
      <w:r>
        <w:rPr>
          <w:rFonts w:cs="Arial" w:ascii="Arial" w:hAnsi="Arial"/>
          <w:b/>
          <w:bCs/>
          <w:sz w:val="20"/>
          <w:szCs w:val="20"/>
        </w:rPr>
        <w:t>DO OBJETO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 xml:space="preserve">A presente Ata tem por objeto o registro de preços para a eventual aquisição de ........ , especificado(s) no(s) item(ns).......... do .......... Termo de Referência, anexo ...... do edital de </w:t>
      </w:r>
      <w:r>
        <w:rPr>
          <w:rFonts w:cs="Arial" w:ascii="Arial" w:hAnsi="Arial"/>
          <w:i/>
          <w:sz w:val="20"/>
          <w:szCs w:val="20"/>
        </w:rPr>
        <w:t>Pregão</w:t>
      </w:r>
      <w:r>
        <w:rPr>
          <w:rFonts w:cs="Arial" w:ascii="Arial" w:hAnsi="Arial"/>
          <w:sz w:val="20"/>
          <w:szCs w:val="20"/>
        </w:rPr>
        <w:t xml:space="preserve"> nº ........../20..., que é parte integrante desta Ata, assim como a proposta vencedora, independentemente de transcrição.</w:t>
      </w:r>
    </w:p>
    <w:p>
      <w:pPr>
        <w:pStyle w:val="Normal"/>
        <w:widowControl w:val="false"/>
        <w:ind w:left="792" w:hanging="0"/>
        <w:jc w:val="both"/>
        <w:rPr>
          <w:rFonts w:ascii="Arial" w:hAnsi="Arial" w:cs="Arial"/>
          <w:sz w:val="20"/>
          <w:szCs w:val="20"/>
        </w:rPr>
      </w:pPr>
      <w:r>
        <w:rPr>
          <w:rFonts w:cs="Arial" w:ascii="Arial" w:hAnsi="Arial"/>
          <w:sz w:val="20"/>
          <w:szCs w:val="20"/>
        </w:rPr>
      </w:r>
    </w:p>
    <w:p>
      <w:pPr>
        <w:pStyle w:val="Normal"/>
        <w:numPr>
          <w:ilvl w:val="0"/>
          <w:numId w:val="1"/>
        </w:numPr>
        <w:spacing w:lineRule="auto" w:line="276" w:before="120" w:after="120"/>
        <w:ind w:left="0" w:hanging="0"/>
        <w:jc w:val="both"/>
        <w:rPr>
          <w:rFonts w:ascii="Arial" w:hAnsi="Arial" w:cs="Arial"/>
          <w:b/>
          <w:b/>
          <w:sz w:val="20"/>
          <w:szCs w:val="20"/>
        </w:rPr>
      </w:pPr>
      <w:r>
        <w:rPr>
          <w:rFonts w:cs="Arial" w:ascii="Arial" w:hAnsi="Arial"/>
          <w:b/>
          <w:bCs/>
          <w:sz w:val="20"/>
          <w:szCs w:val="20"/>
        </w:rPr>
        <w:t>DOS PREÇOS, ESPECIFICAÇÕES E QUANTITATIVOS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 xml:space="preserve">O preço registrado, as especificações do objeto, a quantidade, fornecedor(es) e as demais condições ofertadas na(s) proposta(s) são as que seguem: </w:t>
      </w:r>
    </w:p>
    <w:tbl>
      <w:tblPr>
        <w:tblW w:w="8551" w:type="dxa"/>
        <w:jc w:val="left"/>
        <w:tblInd w:w="10" w:type="dxa"/>
        <w:tblCellMar>
          <w:top w:w="0" w:type="dxa"/>
          <w:left w:w="10" w:type="dxa"/>
          <w:bottom w:w="0" w:type="dxa"/>
          <w:right w:w="10" w:type="dxa"/>
        </w:tblCellMar>
        <w:tblLook w:firstRow="0" w:noVBand="0" w:lastRow="0" w:firstColumn="0" w:lastColumn="0" w:noHBand="0" w:val="0000"/>
      </w:tblPr>
      <w:tblGrid>
        <w:gridCol w:w="496"/>
        <w:gridCol w:w="1184"/>
        <w:gridCol w:w="1401"/>
        <w:gridCol w:w="1541"/>
        <w:gridCol w:w="1120"/>
        <w:gridCol w:w="1121"/>
        <w:gridCol w:w="840"/>
        <w:gridCol w:w="847"/>
      </w:tblGrid>
      <w:tr>
        <w:trPr>
          <w:trHeight w:val="511" w:hRule="atLeast"/>
        </w:trPr>
        <w:tc>
          <w:tcPr>
            <w:tcW w:w="496"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ind w:right="-30" w:hanging="0"/>
              <w:jc w:val="center"/>
              <w:rPr>
                <w:rFonts w:ascii="Arial" w:hAnsi="Arial" w:cs="Arial"/>
                <w:sz w:val="20"/>
                <w:szCs w:val="20"/>
              </w:rPr>
            </w:pPr>
            <w:r>
              <w:rPr>
                <w:rFonts w:cs="Arial" w:ascii="Arial" w:hAnsi="Arial"/>
                <w:sz w:val="20"/>
                <w:szCs w:val="20"/>
              </w:rPr>
              <w:t>Item</w:t>
            </w:r>
          </w:p>
          <w:p>
            <w:pPr>
              <w:pStyle w:val="Normal"/>
              <w:widowControl w:val="false"/>
              <w:ind w:right="-30" w:hanging="0"/>
              <w:jc w:val="center"/>
              <w:rPr>
                <w:rFonts w:ascii="Arial" w:hAnsi="Arial" w:cs="Arial"/>
                <w:sz w:val="20"/>
                <w:szCs w:val="20"/>
              </w:rPr>
            </w:pPr>
            <w:r>
              <w:rPr>
                <w:rFonts w:cs="Arial" w:ascii="Arial" w:hAnsi="Arial"/>
                <w:sz w:val="20"/>
                <w:szCs w:val="20"/>
              </w:rPr>
              <w:t>do</w:t>
            </w:r>
          </w:p>
          <w:p>
            <w:pPr>
              <w:pStyle w:val="Normal"/>
              <w:widowControl w:val="false"/>
              <w:ind w:right="-30" w:hanging="0"/>
              <w:jc w:val="center"/>
              <w:rPr>
                <w:rFonts w:ascii="Arial" w:hAnsi="Arial" w:cs="Arial"/>
                <w:sz w:val="20"/>
                <w:szCs w:val="20"/>
              </w:rPr>
            </w:pPr>
            <w:r>
              <w:rPr>
                <w:rFonts w:cs="Arial" w:ascii="Arial" w:hAnsi="Arial"/>
                <w:sz w:val="20"/>
                <w:szCs w:val="20"/>
              </w:rPr>
              <w:t>TR</w:t>
            </w:r>
          </w:p>
        </w:tc>
        <w:tc>
          <w:tcPr>
            <w:tcW w:w="8054" w:type="dxa"/>
            <w:gridSpan w:val="7"/>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ind w:right="-30" w:hanging="0"/>
              <w:jc w:val="center"/>
              <w:rPr>
                <w:rFonts w:ascii="Arial" w:hAnsi="Arial" w:cs="Arial"/>
                <w:i/>
                <w:i/>
                <w:color w:val="FF0000"/>
                <w:sz w:val="20"/>
                <w:szCs w:val="20"/>
              </w:rPr>
            </w:pPr>
            <w:r>
              <w:rPr>
                <w:rFonts w:cs="Arial" w:ascii="Arial" w:hAnsi="Arial"/>
                <w:sz w:val="20"/>
                <w:szCs w:val="20"/>
              </w:rPr>
              <w:t xml:space="preserve">Fornecedor </w:t>
            </w:r>
            <w:r>
              <w:rPr>
                <w:rFonts w:cs="Arial" w:ascii="Arial" w:hAnsi="Arial"/>
                <w:i/>
                <w:color w:val="FF0000"/>
                <w:sz w:val="20"/>
                <w:szCs w:val="20"/>
              </w:rPr>
              <w:t>(razão social, CNPJ/MF, endereço, contatos, representante)</w:t>
            </w:r>
          </w:p>
          <w:p>
            <w:pPr>
              <w:pStyle w:val="Normal"/>
              <w:widowControl w:val="false"/>
              <w:ind w:right="-30" w:hanging="0"/>
              <w:jc w:val="center"/>
              <w:rPr>
                <w:rFonts w:ascii="Arial" w:hAnsi="Arial" w:cs="Arial"/>
                <w:sz w:val="20"/>
                <w:szCs w:val="20"/>
              </w:rPr>
            </w:pPr>
            <w:r>
              <w:rPr>
                <w:rFonts w:cs="Arial" w:ascii="Arial" w:hAnsi="Arial"/>
                <w:sz w:val="20"/>
                <w:szCs w:val="20"/>
              </w:rPr>
            </w:r>
          </w:p>
        </w:tc>
      </w:tr>
      <w:tr>
        <w:trPr>
          <w:trHeight w:val="674" w:hRule="atLeast"/>
        </w:trPr>
        <w:tc>
          <w:tcPr>
            <w:tcW w:w="496" w:type="dxa"/>
            <w:tcBorders>
              <w:left w:val="single" w:sz="2" w:space="0" w:color="000000"/>
              <w:bottom w:val="single" w:sz="2" w:space="0" w:color="000000"/>
            </w:tcBorders>
            <w:shd w:fill="auto" w:val="clear"/>
            <w:vAlign w:val="center"/>
          </w:tcPr>
          <w:p>
            <w:pPr>
              <w:pStyle w:val="Normal"/>
              <w:widowControl w:val="false"/>
              <w:ind w:right="-30" w:hanging="0"/>
              <w:jc w:val="center"/>
              <w:rPr>
                <w:rFonts w:ascii="Arial" w:hAnsi="Arial" w:cs="Arial"/>
                <w:sz w:val="20"/>
                <w:szCs w:val="20"/>
              </w:rPr>
            </w:pPr>
            <w:r>
              <w:rPr>
                <w:rFonts w:cs="Arial" w:ascii="Arial" w:hAnsi="Arial"/>
                <w:sz w:val="20"/>
                <w:szCs w:val="20"/>
              </w:rPr>
              <w:t>X</w:t>
            </w:r>
          </w:p>
        </w:tc>
        <w:tc>
          <w:tcPr>
            <w:tcW w:w="1184" w:type="dxa"/>
            <w:tcBorders>
              <w:left w:val="single" w:sz="2" w:space="0" w:color="000000"/>
              <w:bottom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t>Especificação</w:t>
            </w:r>
          </w:p>
        </w:tc>
        <w:tc>
          <w:tcPr>
            <w:tcW w:w="1401" w:type="dxa"/>
            <w:tcBorders>
              <w:left w:val="single" w:sz="2" w:space="0" w:color="000000"/>
              <w:bottom w:val="single" w:sz="2"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t xml:space="preserve">Marca </w:t>
            </w:r>
          </w:p>
          <w:p>
            <w:pPr>
              <w:pStyle w:val="Normal"/>
              <w:widowControl w:val="false"/>
              <w:ind w:right="-30" w:hanging="0"/>
              <w:jc w:val="center"/>
              <w:rPr>
                <w:rFonts w:ascii="Arial" w:hAnsi="Arial" w:cs="Arial"/>
                <w:i/>
                <w:i/>
                <w:iCs/>
                <w:sz w:val="20"/>
                <w:szCs w:val="20"/>
              </w:rPr>
            </w:pPr>
            <w:r>
              <w:rPr>
                <w:rFonts w:cs="Arial" w:ascii="Arial" w:hAnsi="Arial"/>
                <w:i/>
                <w:iCs/>
                <w:sz w:val="20"/>
                <w:szCs w:val="20"/>
              </w:rPr>
              <w:t>(se exigida no edital)</w:t>
            </w:r>
          </w:p>
        </w:tc>
        <w:tc>
          <w:tcPr>
            <w:tcW w:w="1541" w:type="dxa"/>
            <w:tcBorders>
              <w:left w:val="single" w:sz="2" w:space="0" w:color="000000"/>
              <w:bottom w:val="single" w:sz="2"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t>Modelo</w:t>
            </w:r>
          </w:p>
          <w:p>
            <w:pPr>
              <w:pStyle w:val="Normal"/>
              <w:widowControl w:val="false"/>
              <w:ind w:right="-30" w:hanging="0"/>
              <w:jc w:val="center"/>
              <w:rPr>
                <w:rFonts w:ascii="Arial" w:hAnsi="Arial" w:cs="Arial"/>
                <w:i/>
                <w:i/>
                <w:iCs/>
                <w:sz w:val="20"/>
                <w:szCs w:val="20"/>
              </w:rPr>
            </w:pPr>
            <w:r>
              <w:rPr>
                <w:rFonts w:cs="Arial" w:ascii="Arial" w:hAnsi="Arial"/>
                <w:i/>
                <w:iCs/>
                <w:sz w:val="20"/>
                <w:szCs w:val="20"/>
              </w:rPr>
              <w:t>(se exigido no edital)</w:t>
            </w:r>
          </w:p>
        </w:tc>
        <w:tc>
          <w:tcPr>
            <w:tcW w:w="1120" w:type="dxa"/>
            <w:tcBorders>
              <w:left w:val="single" w:sz="2" w:space="0" w:color="000000"/>
              <w:bottom w:val="single" w:sz="2" w:space="0" w:color="000000"/>
            </w:tcBorders>
            <w:shd w:fill="auto" w:val="clear"/>
          </w:tcPr>
          <w:p>
            <w:pPr>
              <w:pStyle w:val="Normal"/>
              <w:widowControl w:val="false"/>
              <w:ind w:right="-30" w:hanging="0"/>
              <w:jc w:val="center"/>
              <w:rPr>
                <w:rFonts w:ascii="Arial" w:hAnsi="Arial" w:cs="Arial"/>
                <w:sz w:val="20"/>
                <w:szCs w:val="20"/>
              </w:rPr>
            </w:pPr>
            <w:r>
              <w:rPr>
                <w:rFonts w:cs="Arial" w:ascii="Arial" w:hAnsi="Arial"/>
                <w:sz w:val="20"/>
                <w:szCs w:val="20"/>
              </w:rPr>
              <w:t>Unidade</w:t>
            </w:r>
          </w:p>
        </w:tc>
        <w:tc>
          <w:tcPr>
            <w:tcW w:w="1121" w:type="dxa"/>
            <w:tcBorders>
              <w:left w:val="single" w:sz="2" w:space="0" w:color="000000"/>
              <w:bottom w:val="single" w:sz="2" w:space="0" w:color="000000"/>
            </w:tcBorders>
            <w:shd w:fill="auto" w:val="clear"/>
          </w:tcPr>
          <w:p>
            <w:pPr>
              <w:pStyle w:val="Normal"/>
              <w:widowControl w:val="false"/>
              <w:ind w:right="-30" w:hanging="0"/>
              <w:jc w:val="center"/>
              <w:rPr>
                <w:rFonts w:ascii="Arial" w:hAnsi="Arial" w:cs="Arial"/>
                <w:sz w:val="20"/>
                <w:szCs w:val="20"/>
              </w:rPr>
            </w:pPr>
            <w:r>
              <w:rPr>
                <w:rFonts w:cs="Arial" w:ascii="Arial" w:hAnsi="Arial"/>
                <w:sz w:val="20"/>
                <w:szCs w:val="20"/>
              </w:rPr>
              <w:t>Quantidade</w:t>
            </w:r>
          </w:p>
        </w:tc>
        <w:tc>
          <w:tcPr>
            <w:tcW w:w="840" w:type="dxa"/>
            <w:tcBorders>
              <w:left w:val="single" w:sz="2" w:space="0" w:color="000000"/>
              <w:bottom w:val="single" w:sz="2" w:space="0" w:color="000000"/>
            </w:tcBorders>
            <w:shd w:fill="auto" w:val="clear"/>
          </w:tcPr>
          <w:p>
            <w:pPr>
              <w:pStyle w:val="Normal"/>
              <w:widowControl w:val="false"/>
              <w:ind w:right="-30" w:hanging="0"/>
              <w:jc w:val="center"/>
              <w:rPr>
                <w:rFonts w:ascii="Arial" w:hAnsi="Arial" w:cs="Arial"/>
                <w:sz w:val="20"/>
                <w:szCs w:val="20"/>
              </w:rPr>
            </w:pPr>
            <w:r>
              <w:rPr>
                <w:rFonts w:cs="Arial" w:ascii="Arial" w:hAnsi="Arial"/>
                <w:sz w:val="20"/>
                <w:szCs w:val="20"/>
              </w:rPr>
              <w:t>Valor Un</w:t>
            </w:r>
          </w:p>
        </w:tc>
        <w:tc>
          <w:tcPr>
            <w:tcW w:w="847" w:type="dxa"/>
            <w:tcBorders>
              <w:left w:val="single" w:sz="2" w:space="0" w:color="000000"/>
              <w:bottom w:val="single" w:sz="2" w:space="0" w:color="000000"/>
              <w:right w:val="single" w:sz="2" w:space="0" w:color="000000"/>
            </w:tcBorders>
            <w:shd w:fill="auto" w:val="clear"/>
          </w:tcPr>
          <w:p>
            <w:pPr>
              <w:pStyle w:val="Normal"/>
              <w:widowControl w:val="false"/>
              <w:ind w:right="-30" w:hanging="0"/>
              <w:jc w:val="center"/>
              <w:rPr>
                <w:rFonts w:ascii="Arial" w:hAnsi="Arial" w:cs="Arial"/>
                <w:sz w:val="20"/>
                <w:szCs w:val="20"/>
              </w:rPr>
            </w:pPr>
            <w:r>
              <w:rPr>
                <w:rFonts w:cs="Arial" w:ascii="Arial" w:hAnsi="Arial"/>
                <w:i/>
                <w:iCs/>
                <w:sz w:val="20"/>
                <w:szCs w:val="20"/>
              </w:rPr>
              <w:t>Prazo garantia ou validade</w:t>
            </w:r>
          </w:p>
        </w:tc>
      </w:tr>
      <w:tr>
        <w:trPr>
          <w:trHeight w:val="174" w:hRule="atLeast"/>
        </w:trPr>
        <w:tc>
          <w:tcPr>
            <w:tcW w:w="496" w:type="dxa"/>
            <w:tcBorders>
              <w:left w:val="single" w:sz="2" w:space="0" w:color="000000"/>
              <w:bottom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84" w:type="dxa"/>
            <w:tcBorders>
              <w:left w:val="single" w:sz="2" w:space="0" w:color="000000"/>
              <w:bottom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401" w:type="dxa"/>
            <w:tcBorders>
              <w:left w:val="single" w:sz="2" w:space="0" w:color="000000"/>
              <w:bottom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541" w:type="dxa"/>
            <w:tcBorders>
              <w:left w:val="single" w:sz="2" w:space="0" w:color="000000"/>
              <w:bottom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0" w:type="dxa"/>
            <w:tcBorders>
              <w:left w:val="single" w:sz="2" w:space="0" w:color="000000"/>
              <w:bottom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1" w:type="dxa"/>
            <w:tcBorders>
              <w:left w:val="single" w:sz="2" w:space="0" w:color="000000"/>
              <w:bottom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0" w:type="dxa"/>
            <w:tcBorders>
              <w:left w:val="single" w:sz="2" w:space="0" w:color="000000"/>
              <w:bottom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7" w:type="dxa"/>
            <w:tcBorders>
              <w:left w:val="single" w:sz="2" w:space="0" w:color="000000"/>
              <w:bottom w:val="single" w:sz="2" w:space="0" w:color="000000"/>
              <w:right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r>
          </w:p>
        </w:tc>
      </w:tr>
    </w:tbl>
    <w:p>
      <w:pPr>
        <w:pStyle w:val="Normal"/>
        <w:widowControl w:val="false"/>
        <w:ind w:right="-30" w:hanging="0"/>
        <w:jc w:val="both"/>
        <w:rPr>
          <w:rFonts w:ascii="Arial" w:hAnsi="Arial" w:cs="Arial"/>
          <w:i/>
          <w:i/>
          <w:iCs/>
          <w:sz w:val="20"/>
          <w:szCs w:val="20"/>
        </w:rPr>
      </w:pPr>
      <w:r>
        <w:rPr>
          <w:rFonts w:cs="Arial" w:ascii="Arial" w:hAnsi="Arial"/>
          <w:i/>
          <w:iCs/>
          <w:sz w:val="20"/>
          <w:szCs w:val="20"/>
        </w:rPr>
      </w:r>
    </w:p>
    <w:p>
      <w:pPr>
        <w:pStyle w:val="Normal"/>
        <w:rPr>
          <w:rFonts w:ascii="Arial" w:hAnsi="Arial" w:cs="Arial"/>
          <w:sz w:val="20"/>
          <w:szCs w:val="20"/>
          <w:lang w:eastAsia="en-US"/>
        </w:rPr>
      </w:pPr>
      <w:r>
        <w:rPr>
          <w:rFonts w:cs="Arial" w:ascii="Arial" w:hAnsi="Arial"/>
          <w:sz w:val="20"/>
          <w:szCs w:val="20"/>
          <w:lang w:eastAsia="en-US"/>
        </w:rPr>
      </w:r>
    </w:p>
    <w:p>
      <w:pPr>
        <w:pStyle w:val="Normal"/>
        <w:rPr>
          <w:rFonts w:ascii="Arial" w:hAnsi="Arial" w:cs="Arial"/>
          <w:sz w:val="20"/>
          <w:szCs w:val="20"/>
          <w:lang w:eastAsia="en-US"/>
        </w:rPr>
      </w:pPr>
      <w:r>
        <w:rPr>
          <w:rFonts w:cs="Arial" w:ascii="Arial" w:hAnsi="Arial"/>
          <w:sz w:val="20"/>
          <w:szCs w:val="20"/>
          <w:lang w:eastAsia="en-US"/>
        </w:rPr>
      </w:r>
    </w:p>
    <w:p>
      <w:pPr>
        <w:pStyle w:val="Normal"/>
        <w:widowControl w:val="false"/>
        <w:numPr>
          <w:ilvl w:val="0"/>
          <w:numId w:val="1"/>
        </w:numPr>
        <w:spacing w:before="240" w:after="0"/>
        <w:jc w:val="both"/>
        <w:rPr>
          <w:rFonts w:ascii="Arial" w:hAnsi="Arial" w:cs="Arial"/>
          <w:b/>
          <w:b/>
          <w:i/>
          <w:i/>
          <w:sz w:val="20"/>
          <w:szCs w:val="20"/>
        </w:rPr>
      </w:pPr>
      <w:r>
        <w:rPr>
          <w:rFonts w:cs="Arial" w:ascii="Arial" w:hAnsi="Arial"/>
          <w:b/>
          <w:bCs/>
          <w:i/>
          <w:iCs/>
          <w:sz w:val="20"/>
          <w:szCs w:val="20"/>
        </w:rPr>
        <w:t>ÓRGÃO(S) GERENCIADOR E  PARTICIPANTE(S)</w:t>
      </w:r>
    </w:p>
    <w:p>
      <w:pPr>
        <w:pStyle w:val="Normal"/>
        <w:numPr>
          <w:ilvl w:val="1"/>
          <w:numId w:val="1"/>
        </w:numPr>
        <w:spacing w:lineRule="auto" w:line="276" w:before="120" w:after="120"/>
        <w:ind w:left="792" w:hanging="432"/>
        <w:jc w:val="both"/>
        <w:rPr>
          <w:rFonts w:ascii="Arial" w:hAnsi="Arial" w:cs="Arial"/>
          <w:sz w:val="20"/>
          <w:szCs w:val="20"/>
        </w:rPr>
      </w:pPr>
      <w:r>
        <w:rPr>
          <w:rFonts w:cs="Arial" w:ascii="Arial" w:hAnsi="Arial"/>
          <w:i/>
          <w:sz w:val="20"/>
          <w:szCs w:val="20"/>
        </w:rPr>
        <w:t>O órgão gerenciador será o ......(nome do órgão)....</w:t>
      </w:r>
    </w:p>
    <w:p>
      <w:pPr>
        <w:pStyle w:val="Normal"/>
        <w:numPr>
          <w:ilvl w:val="1"/>
          <w:numId w:val="1"/>
        </w:numPr>
        <w:spacing w:lineRule="auto" w:line="276" w:before="120" w:after="120"/>
        <w:ind w:left="425" w:hanging="0"/>
        <w:jc w:val="both"/>
        <w:rPr>
          <w:rFonts w:ascii="Arial" w:hAnsi="Arial" w:cs="Arial"/>
          <w:i/>
          <w:i/>
          <w:iCs/>
          <w:sz w:val="20"/>
          <w:szCs w:val="20"/>
        </w:rPr>
      </w:pPr>
      <w:r>
        <w:rPr>
          <w:rFonts w:cs="Arial" w:ascii="Arial" w:hAnsi="Arial"/>
          <w:i/>
          <w:iCs/>
          <w:sz w:val="20"/>
          <w:szCs w:val="20"/>
        </w:rPr>
        <w:t>São órgãos e entidades públicas participantes do registro de preços:</w:t>
      </w:r>
    </w:p>
    <w:p>
      <w:pPr>
        <w:pStyle w:val="Normal"/>
        <w:widowControl w:val="false"/>
        <w:tabs>
          <w:tab w:val="clear" w:pos="708"/>
          <w:tab w:val="left" w:pos="2093" w:leader="none"/>
        </w:tabs>
        <w:spacing w:before="240" w:after="0"/>
        <w:ind w:left="792" w:right="-30" w:hanging="0"/>
        <w:jc w:val="both"/>
        <w:rPr>
          <w:rFonts w:ascii="Arial" w:hAnsi="Arial" w:cs="Arial"/>
          <w:i/>
          <w:i/>
          <w:iCs/>
          <w:sz w:val="20"/>
          <w:szCs w:val="20"/>
        </w:rPr>
      </w:pPr>
      <w:r>
        <w:rPr>
          <w:rFonts w:cs="Arial" w:ascii="Arial" w:hAnsi="Arial"/>
          <w:i/>
          <w:iCs/>
          <w:sz w:val="20"/>
          <w:szCs w:val="20"/>
        </w:rPr>
        <w:tab/>
      </w:r>
    </w:p>
    <w:tbl>
      <w:tblPr>
        <w:tblW w:w="8978" w:type="dxa"/>
        <w:jc w:val="left"/>
        <w:tblInd w:w="0" w:type="dxa"/>
        <w:tblCellMar>
          <w:top w:w="0" w:type="dxa"/>
          <w:left w:w="108" w:type="dxa"/>
          <w:bottom w:w="0" w:type="dxa"/>
          <w:right w:w="108" w:type="dxa"/>
        </w:tblCellMar>
        <w:tblLook w:firstRow="1" w:noVBand="0" w:lastRow="1" w:firstColumn="1" w:lastColumn="1" w:noHBand="0" w:val="01e0"/>
      </w:tblPr>
      <w:tblGrid>
        <w:gridCol w:w="2244"/>
        <w:gridCol w:w="2244"/>
        <w:gridCol w:w="2243"/>
        <w:gridCol w:w="2246"/>
      </w:tblGrid>
      <w:tr>
        <w:trPr/>
        <w:tc>
          <w:tcPr>
            <w:tcW w:w="22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t xml:space="preserve">Item nº </w:t>
            </w:r>
          </w:p>
        </w:tc>
        <w:tc>
          <w:tcPr>
            <w:tcW w:w="22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t>Órgãos Participantes</w:t>
            </w:r>
          </w:p>
        </w:tc>
        <w:tc>
          <w:tcPr>
            <w:tcW w:w="224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t>Unidade</w:t>
            </w:r>
          </w:p>
        </w:tc>
        <w:tc>
          <w:tcPr>
            <w:tcW w:w="2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t>Quantidade</w:t>
            </w:r>
          </w:p>
        </w:tc>
      </w:tr>
      <w:tr>
        <w:trPr/>
        <w:tc>
          <w:tcPr>
            <w:tcW w:w="22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r>
      <w:tr>
        <w:trPr/>
        <w:tc>
          <w:tcPr>
            <w:tcW w:w="22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r>
      <w:tr>
        <w:trPr/>
        <w:tc>
          <w:tcPr>
            <w:tcW w:w="22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r>
    </w:tbl>
    <w:p>
      <w:pPr>
        <w:pStyle w:val="Normal"/>
        <w:widowControl w:val="false"/>
        <w:ind w:right="-30" w:hanging="0"/>
        <w:jc w:val="both"/>
        <w:rPr>
          <w:rFonts w:ascii="Arial" w:hAnsi="Arial" w:cs="Arial"/>
          <w:i/>
          <w:i/>
          <w:iCs/>
          <w:color w:val="FF0000"/>
          <w:sz w:val="20"/>
          <w:szCs w:val="20"/>
        </w:rPr>
      </w:pPr>
      <w:r>
        <w:rPr>
          <w:rFonts w:cs="Arial" w:ascii="Arial" w:hAnsi="Arial"/>
          <w:i/>
          <w:iCs/>
          <w:color w:val="FF0000"/>
          <w:sz w:val="20"/>
          <w:szCs w:val="20"/>
        </w:rPr>
      </w:r>
    </w:p>
    <w:p>
      <w:pPr>
        <w:pStyle w:val="Nivel1"/>
        <w:numPr>
          <w:ilvl w:val="0"/>
          <w:numId w:val="1"/>
        </w:numPr>
        <w:rPr>
          <w:i/>
          <w:i/>
          <w:color w:val="FF0000"/>
          <w:lang w:eastAsia="en-US"/>
        </w:rPr>
      </w:pPr>
      <w:r>
        <w:rPr>
          <w:lang w:eastAsia="en-US"/>
        </w:rPr>
        <w:t xml:space="preserve">DA ADESÃO À ATA DE REGISTRO DE PREÇOS </w:t>
      </w:r>
    </w:p>
    <w:p>
      <w:pPr>
        <w:pStyle w:val="Normal"/>
        <w:ind w:firstLine="567"/>
        <w:rPr>
          <w:rFonts w:ascii="Arial" w:hAnsi="Arial" w:cs="Arial"/>
          <w:sz w:val="20"/>
          <w:szCs w:val="20"/>
          <w:lang w:eastAsia="en-US"/>
        </w:rPr>
      </w:pPr>
      <w:r>
        <w:rPr>
          <w:rFonts w:cs="Arial" w:ascii="Arial" w:hAnsi="Arial"/>
          <w:sz w:val="20"/>
          <w:szCs w:val="20"/>
          <w:lang w:eastAsia="en-US"/>
        </w:rPr>
      </w:r>
    </w:p>
    <w:p>
      <w:pPr>
        <w:pStyle w:val="Normal"/>
        <w:numPr>
          <w:ilvl w:val="1"/>
          <w:numId w:val="1"/>
        </w:numPr>
        <w:spacing w:lineRule="auto" w:line="276" w:before="120" w:after="120"/>
        <w:ind w:left="792" w:hanging="432"/>
        <w:jc w:val="both"/>
        <w:rPr>
          <w:rFonts w:ascii="Arial" w:hAnsi="Arial" w:cs="Arial"/>
          <w:i/>
          <w:i/>
          <w:sz w:val="20"/>
          <w:szCs w:val="20"/>
        </w:rPr>
      </w:pPr>
      <w:r>
        <w:rPr>
          <w:rFonts w:cs="Arial" w:ascii="Arial" w:hAnsi="Arial"/>
          <w:i/>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numPr>
          <w:ilvl w:val="2"/>
          <w:numId w:val="1"/>
        </w:numPr>
        <w:spacing w:lineRule="auto" w:line="276" w:before="120" w:after="120"/>
        <w:ind w:left="1224" w:hanging="504"/>
        <w:jc w:val="both"/>
        <w:rPr>
          <w:rFonts w:ascii="Arial" w:hAnsi="Arial" w:cs="Arial"/>
          <w:i/>
          <w:i/>
          <w:sz w:val="20"/>
          <w:szCs w:val="20"/>
        </w:rPr>
      </w:pPr>
      <w:r>
        <w:rPr>
          <w:rFonts w:cs="Arial" w:ascii="Arial" w:hAnsi="Arial"/>
          <w:i/>
          <w:sz w:val="20"/>
          <w:szCs w:val="20"/>
        </w:rPr>
        <w:t> </w:t>
      </w:r>
      <w:r>
        <w:rPr>
          <w:rFonts w:cs="Arial" w:ascii="Arial" w:hAnsi="Arial"/>
          <w:i/>
          <w:sz w:val="20"/>
          <w:szCs w:val="20"/>
        </w:rPr>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spacing w:lineRule="auto" w:line="276" w:before="120" w:after="120"/>
        <w:ind w:left="425" w:hanging="0"/>
        <w:jc w:val="both"/>
        <w:rPr>
          <w:rFonts w:ascii="Arial" w:hAnsi="Arial" w:cs="Arial"/>
          <w:i/>
          <w:i/>
          <w:sz w:val="20"/>
          <w:szCs w:val="20"/>
        </w:rPr>
      </w:pPr>
      <w:r>
        <w:rPr>
          <w:rFonts w:cs="Arial" w:ascii="Arial" w:hAnsi="Arial"/>
          <w:i/>
          <w:sz w:val="20"/>
          <w:szCs w:val="20"/>
        </w:rPr>
      </w:r>
    </w:p>
    <w:p>
      <w:pPr>
        <w:pStyle w:val="Normal"/>
        <w:rPr>
          <w:rFonts w:ascii="Arial" w:hAnsi="Arial" w:cs="Arial"/>
          <w:sz w:val="20"/>
          <w:szCs w:val="20"/>
          <w:lang w:eastAsia="en-US"/>
        </w:rPr>
      </w:pPr>
      <w:r>
        <w:rPr>
          <w:rFonts w:cs="Arial" w:ascii="Arial" w:hAnsi="Arial"/>
          <w:sz w:val="20"/>
          <w:szCs w:val="20"/>
          <w:lang w:eastAsia="en-US"/>
        </w:rPr>
      </w:r>
    </w:p>
    <w:p>
      <w:pPr>
        <w:pStyle w:val="Normal"/>
        <w:numPr>
          <w:ilvl w:val="1"/>
          <w:numId w:val="1"/>
        </w:numPr>
        <w:spacing w:lineRule="auto" w:line="276" w:before="120" w:after="120"/>
        <w:ind w:left="792" w:hanging="432"/>
        <w:jc w:val="both"/>
        <w:rPr>
          <w:rFonts w:ascii="Arial" w:hAnsi="Arial" w:cs="Arial"/>
          <w:i/>
          <w:i/>
          <w:sz w:val="20"/>
          <w:szCs w:val="20"/>
        </w:rPr>
      </w:pPr>
      <w:r>
        <w:rPr>
          <w:rFonts w:cs="Arial" w:ascii="Arial" w:hAnsi="Arial"/>
          <w:i/>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pPr>
        <w:pStyle w:val="Normal"/>
        <w:numPr>
          <w:ilvl w:val="1"/>
          <w:numId w:val="1"/>
        </w:numPr>
        <w:spacing w:lineRule="auto" w:line="276" w:before="120" w:after="120"/>
        <w:ind w:left="792" w:hanging="432"/>
        <w:jc w:val="both"/>
        <w:rPr>
          <w:rFonts w:ascii="Arial" w:hAnsi="Arial" w:cs="Arial"/>
          <w:i/>
          <w:i/>
          <w:sz w:val="20"/>
          <w:szCs w:val="20"/>
        </w:rPr>
      </w:pPr>
      <w:r>
        <w:rPr>
          <w:rFonts w:cs="Arial" w:ascii="Arial" w:hAnsi="Arial"/>
          <w:i/>
          <w:sz w:val="20"/>
          <w:szCs w:val="20"/>
        </w:rPr>
        <w:t>As aquisições ou contratações adicionais a que se refere este item não poderão exceder, por órgão ou entidade, a... (máximo cinquenta) por cento dos quantitativos dos itens do instrumento convocatório e registrados na ata de registro de preços para o órgão gerenciador e órgãos participantes.</w:t>
      </w:r>
    </w:p>
    <w:p>
      <w:pPr>
        <w:pStyle w:val="Normal"/>
        <w:numPr>
          <w:ilvl w:val="1"/>
          <w:numId w:val="1"/>
        </w:numPr>
        <w:spacing w:lineRule="auto" w:line="276" w:before="120" w:after="120"/>
        <w:ind w:left="792" w:hanging="432"/>
        <w:jc w:val="both"/>
        <w:rPr>
          <w:rFonts w:ascii="Arial" w:hAnsi="Arial" w:cs="Arial"/>
          <w:i/>
          <w:i/>
          <w:sz w:val="20"/>
          <w:szCs w:val="20"/>
        </w:rPr>
      </w:pPr>
      <w:r>
        <w:rPr>
          <w:rFonts w:cs="Arial" w:ascii="Arial" w:hAnsi="Arial"/>
          <w:i/>
          <w:sz w:val="20"/>
          <w:szCs w:val="20"/>
        </w:rPr>
        <w:t>As adesões à ata de registro de preços são limitadas, na totalidade, ao .............  (máximo dobro)..... do quantitativo de cada item registrado na ata de registro de preços para o órgão gerenciador e órgãos participantes, independente do número de órgãos não participantes que eventualmente aderirem.</w:t>
      </w:r>
    </w:p>
    <w:p>
      <w:pPr>
        <w:pStyle w:val="Normal"/>
        <w:numPr>
          <w:ilvl w:val="2"/>
          <w:numId w:val="1"/>
        </w:numPr>
        <w:spacing w:lineRule="auto" w:line="276" w:before="120" w:after="120"/>
        <w:ind w:left="1224" w:hanging="504"/>
        <w:jc w:val="both"/>
        <w:rPr>
          <w:rFonts w:ascii="Arial" w:hAnsi="Arial" w:cs="Arial"/>
          <w:i/>
          <w:i/>
          <w:sz w:val="20"/>
          <w:szCs w:val="20"/>
        </w:rPr>
      </w:pPr>
      <w:r>
        <w:rPr>
          <w:rFonts w:cs="Arial" w:ascii="Arial" w:hAnsi="Arial"/>
          <w:i/>
          <w:sz w:val="20"/>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pPr>
        <w:pStyle w:val="Normal"/>
        <w:numPr>
          <w:ilvl w:val="1"/>
          <w:numId w:val="1"/>
        </w:numPr>
        <w:spacing w:lineRule="auto" w:line="276" w:before="120" w:after="120"/>
        <w:ind w:left="792" w:hanging="432"/>
        <w:jc w:val="both"/>
        <w:rPr>
          <w:rFonts w:ascii="Arial" w:hAnsi="Arial" w:cs="Arial"/>
          <w:i/>
          <w:i/>
          <w:sz w:val="20"/>
          <w:szCs w:val="20"/>
        </w:rPr>
      </w:pPr>
      <w:r>
        <w:rPr>
          <w:rFonts w:cs="Arial" w:ascii="Arial" w:hAnsi="Arial"/>
          <w:i/>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1"/>
          <w:numId w:val="1"/>
        </w:numPr>
        <w:spacing w:lineRule="auto" w:line="276" w:before="120" w:after="120"/>
        <w:ind w:left="792" w:hanging="432"/>
        <w:jc w:val="both"/>
        <w:rPr>
          <w:rFonts w:ascii="Arial" w:hAnsi="Arial" w:cs="Arial"/>
          <w:i/>
          <w:i/>
          <w:sz w:val="20"/>
          <w:szCs w:val="20"/>
        </w:rPr>
      </w:pPr>
      <w:r>
        <w:rPr>
          <w:rFonts w:cs="Arial" w:ascii="Arial" w:hAnsi="Arial"/>
          <w:i/>
          <w:sz w:val="20"/>
          <w:szCs w:val="20"/>
        </w:rPr>
        <w:t>Após a autorização do órgão gerenciador, o órgão não participante deverá efetivar a contratação solicitada em até noventa dias, observado o prazo de validade da Ata de Registro de Preços.</w:t>
      </w:r>
    </w:p>
    <w:p>
      <w:pPr>
        <w:pStyle w:val="Normal"/>
        <w:numPr>
          <w:ilvl w:val="2"/>
          <w:numId w:val="1"/>
        </w:numPr>
        <w:spacing w:lineRule="auto" w:line="276" w:before="120" w:after="120"/>
        <w:ind w:left="1224" w:hanging="504"/>
        <w:jc w:val="both"/>
        <w:rPr>
          <w:rFonts w:ascii="Arial" w:hAnsi="Arial" w:cs="Arial"/>
          <w:i/>
          <w:i/>
          <w:sz w:val="20"/>
          <w:szCs w:val="20"/>
        </w:rPr>
      </w:pPr>
      <w:r>
        <w:rPr>
          <w:rFonts w:cs="Arial" w:ascii="Arial" w:hAnsi="Arial"/>
          <w:i/>
          <w:sz w:val="20"/>
          <w:szCs w:val="20"/>
        </w:rPr>
        <w:t>Caberá ao órgão gerenciador autorizar, excepcional e justificadamente, a prorrogação do prazo para efetivação da contratação, respeitado o prazo de vigência da ata, desde que solicitada pelo órgão não participante.</w:t>
      </w:r>
      <w:bookmarkStart w:id="0" w:name="_GoBack"/>
      <w:bookmarkEnd w:id="0"/>
    </w:p>
    <w:p>
      <w:pPr>
        <w:pStyle w:val="Nivel1"/>
        <w:numPr>
          <w:ilvl w:val="0"/>
          <w:numId w:val="1"/>
        </w:numPr>
        <w:rPr>
          <w:iCs/>
        </w:rPr>
      </w:pPr>
      <w:r>
        <w:rPr/>
        <w:t xml:space="preserve">VALIDADE DA ATA </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sz w:val="20"/>
          <w:szCs w:val="20"/>
        </w:rPr>
        <w:t xml:space="preserve">A validade da Ata de Registro de Preços será de </w:t>
      </w:r>
      <w:r>
        <w:rPr>
          <w:rFonts w:cs="Arial" w:ascii="Arial" w:hAnsi="Arial"/>
          <w:i/>
          <w:sz w:val="20"/>
          <w:szCs w:val="20"/>
        </w:rPr>
        <w:t>12 meses</w:t>
      </w:r>
      <w:r>
        <w:rPr>
          <w:rFonts w:cs="Arial" w:ascii="Arial" w:hAnsi="Arial"/>
          <w:sz w:val="20"/>
          <w:szCs w:val="20"/>
        </w:rPr>
        <w:t>, a partir do(a)................................, não podendo ser prorrogada.</w:t>
      </w:r>
    </w:p>
    <w:p>
      <w:pPr>
        <w:pStyle w:val="Normal"/>
        <w:rPr>
          <w:rFonts w:ascii="Arial" w:hAnsi="Arial" w:cs="Arial"/>
          <w:color w:val="00B050"/>
          <w:sz w:val="20"/>
          <w:szCs w:val="20"/>
          <w:lang w:eastAsia="en-US"/>
        </w:rPr>
      </w:pPr>
      <w:r>
        <w:rPr>
          <w:rFonts w:cs="Arial" w:ascii="Arial" w:hAnsi="Arial"/>
          <w:color w:val="00B050"/>
          <w:sz w:val="20"/>
          <w:szCs w:val="20"/>
          <w:lang w:eastAsia="en-US"/>
        </w:rPr>
      </w:r>
    </w:p>
    <w:p>
      <w:pPr>
        <w:pStyle w:val="Normal"/>
        <w:widowControl w:val="false"/>
        <w:numPr>
          <w:ilvl w:val="0"/>
          <w:numId w:val="1"/>
        </w:numPr>
        <w:spacing w:before="240" w:after="0"/>
        <w:ind w:left="360" w:right="-30" w:hanging="360"/>
        <w:jc w:val="both"/>
        <w:rPr>
          <w:rFonts w:ascii="Arial" w:hAnsi="Arial" w:cs="Arial"/>
          <w:iCs/>
          <w:sz w:val="20"/>
          <w:szCs w:val="20"/>
        </w:rPr>
      </w:pPr>
      <w:r>
        <w:rPr>
          <w:rFonts w:cs="Arial" w:ascii="Arial" w:hAnsi="Arial"/>
          <w:b/>
          <w:bCs/>
          <w:sz w:val="20"/>
          <w:szCs w:val="20"/>
        </w:rPr>
        <w:t>REVISÃO E CANCELAMENTO</w:t>
      </w:r>
      <w:r>
        <w:rPr>
          <w:rFonts w:cs="Arial" w:ascii="Arial" w:hAnsi="Arial"/>
          <w:iCs/>
          <w:sz w:val="20"/>
          <w:szCs w:val="20"/>
        </w:rPr>
        <w:t xml:space="preserve"> </w:t>
      </w:r>
    </w:p>
    <w:p>
      <w:pPr>
        <w:pStyle w:val="ListParagraph"/>
        <w:numPr>
          <w:ilvl w:val="1"/>
          <w:numId w:val="1"/>
        </w:numPr>
        <w:spacing w:lineRule="auto" w:line="276" w:before="120" w:after="120"/>
        <w:ind w:left="425" w:hanging="0"/>
        <w:contextualSpacing/>
        <w:jc w:val="both"/>
        <w:rPr>
          <w:rFonts w:ascii="Arial" w:hAnsi="Arial" w:cs="Arial"/>
          <w:sz w:val="20"/>
          <w:szCs w:val="20"/>
        </w:rPr>
      </w:pPr>
      <w:r>
        <w:rPr>
          <w:rFonts w:cs="Arial" w:ascii="Arial" w:hAnsi="Arial"/>
          <w:sz w:val="20"/>
          <w:szCs w:val="20"/>
        </w:rPr>
        <w:t>A Administração realizará pesquisa de mercado periodicamente, em intervalos não superiores a 180 (cento e oitenta) dias, a fim de verificar a vantajosidade dos preços registrados nesta Ata.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Quando o preço registrado tornar-se superior ao preço praticado no mercado por motivo superveniente, a Administração convocará o(s) fornecedor(es) para negociar(em) a redução dos preços aos valores praticados pelo mercado.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fornecedor que não aceitar reduzir seu preço ao valor praticado pelo mercado será liberado do compromisso assumido, sem aplicação de penalidade.</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A ordem de classificação dos fornecedores que aceitarem reduzir seus preços aos valores de mercado observará a classificação original.</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Quando o preço de mercado tornar-se superior aos preços registrados e o fornecedor não puder cumprir o compromisso, o órgão gerenciador poderá:</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liberar o fornecedor do compromisso assumido, caso a comunicação ocorra antes do pedido de fornecimento, e sem aplicação da penalidade se confirmada a veracidade dos motivos e comprovantes apresentados; e</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convocar os demais fornecedores para assegurar igual oportunidade de negociação.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Não havendo êxito nas negociações, o órgão gerenciador deverá proceder à revogação desta ata de registro de preços, adotando as medidas cabíveis para obtenção da contratação mais vantajosa.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registro do fornecedor será cancelado quando:</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descumprir as condições da ata de registro de preços;</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não retirar a nota de empenho ou instrumento equivalente no prazo estabelecido pela Administração, sem justificativa aceitável;</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não aceitar reduzir o seu preço registrado, na hipótese deste se tornar superior àqueles praticados no mercado; ou</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sofrer sanção administrativa cujo efeito torne-o proibido de celebrar contrato administrativo, alcançando o órgão gerenciador e órgão(s) participante(s).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cancelamento de registros nas hipóteses previstas nos itens 6.7.1, 6.7.2 e 6.7.4 será formalizado por despacho do órgão gerenciador, assegurado o contraditório e a ampla defesa.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cancelamento do registro de preços poderá ocorrer por fato superveniente, decorrente de caso fortuito ou força maior, que prejudique o cumprimento da ata, devidamente comprovados e justificados:</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por razão de interesse público; ou</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a pedido do fornecedor. </w:t>
      </w:r>
    </w:p>
    <w:p>
      <w:pPr>
        <w:pStyle w:val="Nivel1"/>
        <w:numPr>
          <w:ilvl w:val="0"/>
          <w:numId w:val="1"/>
        </w:numPr>
        <w:ind w:left="357" w:hanging="357"/>
        <w:rPr/>
      </w:pPr>
      <w:r>
        <w:rPr/>
        <w:t>DAS PENALIDADES</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O descumprimento da Ata de Registro de Preços ensejará aplicação das penalidades estabelecidas no Edital.</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pPr>
        <w:pStyle w:val="Normal"/>
        <w:widowControl w:val="false"/>
        <w:ind w:left="360" w:hanging="0"/>
        <w:jc w:val="both"/>
        <w:rPr>
          <w:rFonts w:ascii="Arial" w:hAnsi="Arial" w:cs="Arial"/>
          <w:b/>
          <w:b/>
          <w:iCs/>
          <w:sz w:val="20"/>
          <w:szCs w:val="20"/>
        </w:rPr>
      </w:pPr>
      <w:r>
        <w:rPr>
          <w:rFonts w:cs="Arial" w:ascii="Arial" w:hAnsi="Arial"/>
          <w:b/>
          <w:iCs/>
          <w:sz w:val="20"/>
          <w:szCs w:val="20"/>
        </w:rPr>
      </w:r>
    </w:p>
    <w:p>
      <w:pPr>
        <w:pStyle w:val="Normal"/>
        <w:widowControl w:val="false"/>
        <w:numPr>
          <w:ilvl w:val="0"/>
          <w:numId w:val="1"/>
        </w:numPr>
        <w:jc w:val="both"/>
        <w:rPr>
          <w:rFonts w:ascii="Arial" w:hAnsi="Arial" w:cs="Arial"/>
          <w:b/>
          <w:b/>
          <w:iCs/>
          <w:sz w:val="20"/>
          <w:szCs w:val="20"/>
        </w:rPr>
      </w:pPr>
      <w:r>
        <w:rPr>
          <w:rFonts w:cs="Arial" w:ascii="Arial" w:hAnsi="Arial"/>
          <w:b/>
          <w:bCs/>
          <w:iCs/>
          <w:sz w:val="20"/>
          <w:szCs w:val="20"/>
        </w:rPr>
        <w:t>CONDIÇÕES GERAIS</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iCs/>
          <w:sz w:val="20"/>
          <w:szCs w:val="20"/>
        </w:rPr>
        <w:t>É vedado efetuar acréscimos nos quantitativos fixados nesta ata de registro de preços, inclusive o acréscimo de que trata o § 1º do art</w:t>
      </w:r>
      <w:r>
        <w:rPr>
          <w:rFonts w:cs="Arial" w:ascii="Arial" w:hAnsi="Arial"/>
          <w:sz w:val="20"/>
          <w:szCs w:val="20"/>
        </w:rPr>
        <w:t>. 65 da Lei nº 8.666/93, nos termos do art. 12, §1º do Decreto nº 7892/13.</w:t>
      </w:r>
    </w:p>
    <w:p>
      <w:pPr>
        <w:pStyle w:val="Normal"/>
        <w:numPr>
          <w:ilvl w:val="1"/>
          <w:numId w:val="1"/>
        </w:numPr>
        <w:spacing w:lineRule="auto" w:line="276" w:before="120" w:after="120"/>
        <w:ind w:left="425" w:hanging="0"/>
        <w:jc w:val="both"/>
        <w:rPr>
          <w:rFonts w:ascii="Arial" w:hAnsi="Arial" w:cs="Arial"/>
          <w:i/>
          <w:i/>
          <w:iCs/>
          <w:sz w:val="20"/>
          <w:szCs w:val="20"/>
        </w:rPr>
      </w:pPr>
      <w:r>
        <w:rPr>
          <w:rFonts w:cs="Arial" w:ascii="Arial" w:hAnsi="Arial"/>
          <w:i/>
          <w:sz w:val="20"/>
          <w:szCs w:val="20"/>
        </w:rPr>
        <w:t>No caso de adjudicação por preço global de grupo de itens, só será admitida a contratação dos itens nas seguintes hipóteses.</w:t>
      </w:r>
    </w:p>
    <w:p>
      <w:pPr>
        <w:pStyle w:val="Normal"/>
        <w:numPr>
          <w:ilvl w:val="2"/>
          <w:numId w:val="1"/>
        </w:numPr>
        <w:spacing w:lineRule="auto" w:line="276" w:before="120" w:after="120"/>
        <w:ind w:left="1224" w:hanging="504"/>
        <w:jc w:val="both"/>
        <w:rPr>
          <w:rFonts w:ascii="Arial" w:hAnsi="Arial" w:cs="Arial"/>
          <w:i/>
          <w:i/>
          <w:iCs/>
          <w:sz w:val="20"/>
          <w:szCs w:val="20"/>
        </w:rPr>
      </w:pPr>
      <w:r>
        <w:rPr>
          <w:rFonts w:cs="Arial" w:ascii="Arial" w:hAnsi="Arial"/>
          <w:i/>
          <w:iCs/>
          <w:sz w:val="20"/>
          <w:szCs w:val="20"/>
        </w:rPr>
        <w:t xml:space="preserve"> </w:t>
      </w:r>
      <w:r>
        <w:rPr>
          <w:rFonts w:cs="Arial" w:ascii="Arial" w:hAnsi="Arial"/>
          <w:i/>
          <w:iCs/>
          <w:sz w:val="20"/>
          <w:szCs w:val="20"/>
        </w:rPr>
        <w:t>contratação da totalidade dos itens de grupo, respeitadas as proporções de quantitativos definidos no certame; ou</w:t>
      </w:r>
    </w:p>
    <w:p>
      <w:pPr>
        <w:pStyle w:val="Normal"/>
        <w:numPr>
          <w:ilvl w:val="2"/>
          <w:numId w:val="1"/>
        </w:numPr>
        <w:spacing w:lineRule="auto" w:line="276" w:before="120" w:after="120"/>
        <w:ind w:left="1224" w:hanging="504"/>
        <w:jc w:val="both"/>
        <w:rPr>
          <w:rFonts w:ascii="Arial" w:hAnsi="Arial" w:cs="Arial"/>
          <w:i/>
          <w:i/>
          <w:iCs/>
          <w:sz w:val="20"/>
          <w:szCs w:val="20"/>
        </w:rPr>
      </w:pPr>
      <w:r>
        <w:rPr>
          <w:rFonts w:cs="Arial" w:ascii="Arial" w:hAnsi="Arial"/>
          <w:i/>
          <w:iCs/>
          <w:sz w:val="20"/>
          <w:szCs w:val="20"/>
        </w:rPr>
        <w:t xml:space="preserve"> </w:t>
      </w:r>
      <w:r>
        <w:rPr>
          <w:rFonts w:cs="Arial" w:ascii="Arial" w:hAnsi="Arial"/>
          <w:i/>
          <w:iCs/>
          <w:sz w:val="20"/>
          <w:szCs w:val="20"/>
        </w:rPr>
        <w:t>contratação de item isolado para o qual o preço unitário adjudicado ao vencedor seja o menor preço válido ofertado para o mesmo item na fase de lances</w:t>
      </w:r>
    </w:p>
    <w:p>
      <w:pPr>
        <w:pStyle w:val="Normal"/>
        <w:numPr>
          <w:ilvl w:val="1"/>
          <w:numId w:val="1"/>
        </w:numPr>
        <w:spacing w:lineRule="auto" w:line="276" w:before="120" w:after="120"/>
        <w:ind w:left="425" w:hanging="0"/>
        <w:jc w:val="both"/>
        <w:rPr/>
      </w:pPr>
      <w:r>
        <w:rPr>
          <w:rFonts w:cs="Arial" w:ascii="Arial" w:hAnsi="Arial"/>
          <w:i/>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pPr>
        <w:pStyle w:val="Normal"/>
        <w:widowControl w:val="false"/>
        <w:ind w:right="-15" w:hanging="0"/>
        <w:jc w:val="both"/>
        <w:rPr>
          <w:rFonts w:ascii="Arial" w:hAnsi="Arial" w:cs="Arial"/>
          <w:i/>
          <w:i/>
          <w:iCs/>
          <w:sz w:val="20"/>
          <w:szCs w:val="20"/>
        </w:rPr>
      </w:pPr>
      <w:r>
        <w:rPr>
          <w:rFonts w:cs="Arial" w:ascii="Arial" w:hAnsi="Arial"/>
          <w:sz w:val="20"/>
          <w:szCs w:val="20"/>
        </w:rPr>
        <w:t xml:space="preserve">Para firmeza e validade do pactuado, a presente Ata foi lavrada em .... (....) vias de igual teor, que, depois de lida e achada em ordem, vai assinada pelas partes </w:t>
      </w:r>
      <w:r>
        <w:rPr>
          <w:rFonts w:cs="Arial" w:ascii="Arial" w:hAnsi="Arial"/>
          <w:i/>
          <w:iCs/>
          <w:sz w:val="20"/>
          <w:szCs w:val="20"/>
        </w:rPr>
        <w:t xml:space="preserve">e encaminhada cópia aos demais órgãos participantes (se houver). </w:t>
      </w:r>
    </w:p>
    <w:p>
      <w:pPr>
        <w:pStyle w:val="Normal"/>
        <w:widowControl w:val="false"/>
        <w:ind w:right="-30" w:hanging="0"/>
        <w:jc w:val="center"/>
        <w:rPr>
          <w:rFonts w:ascii="Arial" w:hAnsi="Arial" w:cs="Arial"/>
          <w:sz w:val="20"/>
          <w:szCs w:val="20"/>
        </w:rPr>
      </w:pPr>
      <w:r>
        <w:rPr>
          <w:rFonts w:cs="Arial" w:ascii="Arial" w:hAnsi="Arial"/>
          <w:sz w:val="20"/>
          <w:szCs w:val="20"/>
        </w:rPr>
        <w:t>Local e data</w:t>
      </w:r>
    </w:p>
    <w:p>
      <w:pPr>
        <w:pStyle w:val="Normal"/>
        <w:widowControl w:val="false"/>
        <w:ind w:right="-30" w:hanging="0"/>
        <w:jc w:val="center"/>
        <w:rPr>
          <w:rFonts w:ascii="Arial" w:hAnsi="Arial" w:cs="Arial"/>
          <w:sz w:val="20"/>
          <w:szCs w:val="20"/>
        </w:rPr>
      </w:pPr>
      <w:r>
        <w:rPr>
          <w:rFonts w:cs="Arial" w:ascii="Arial" w:hAnsi="Arial"/>
          <w:sz w:val="20"/>
          <w:szCs w:val="20"/>
        </w:rPr>
        <w:t>Assinaturas</w:t>
      </w:r>
    </w:p>
    <w:p>
      <w:pPr>
        <w:pStyle w:val="Normal"/>
        <w:widowControl w:val="false"/>
        <w:ind w:right="-30" w:hanging="0"/>
        <w:jc w:val="center"/>
        <w:rPr>
          <w:rFonts w:ascii="Arial" w:hAnsi="Arial" w:cs="Arial"/>
          <w:sz w:val="20"/>
          <w:szCs w:val="20"/>
        </w:rPr>
      </w:pPr>
      <w:r>
        <w:rPr>
          <w:rFonts w:cs="Arial" w:ascii="Arial" w:hAnsi="Arial"/>
          <w:sz w:val="20"/>
          <w:szCs w:val="20"/>
        </w:rPr>
      </w:r>
    </w:p>
    <w:p>
      <w:pPr>
        <w:pStyle w:val="Normal"/>
        <w:widowControl w:val="false"/>
        <w:ind w:right="-30" w:hanging="0"/>
        <w:jc w:val="center"/>
        <w:rPr/>
      </w:pPr>
      <w:r>
        <w:rPr>
          <w:rFonts w:cs="Arial" w:ascii="Arial" w:hAnsi="Arial"/>
          <w:sz w:val="20"/>
          <w:szCs w:val="20"/>
        </w:rPr>
        <w:t xml:space="preserve">Representante legal do órgão gerenciador e representante(s) legal(is) do(s) </w:t>
      </w:r>
      <w:r>
        <w:rPr>
          <w:rFonts w:cs="Arial" w:ascii="Arial" w:hAnsi="Arial"/>
          <w:color w:val="000000"/>
          <w:sz w:val="20"/>
          <w:szCs w:val="20"/>
        </w:rPr>
        <w:t>fornecedor(s) registrado(s)</w:t>
      </w:r>
    </w:p>
    <w:sectPr>
      <w:footerReference w:type="default" r:id="rId3"/>
      <w:type w:val="nextPage"/>
      <w:pgSz w:w="11906" w:h="16838"/>
      <w:pgMar w:left="1701" w:right="1134" w:header="0" w:top="1418" w:footer="708"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ascii="Arial" w:hAnsi="Arial" w:cs="Arial"/>
        <w:sz w:val="12"/>
        <w:szCs w:val="12"/>
      </w:rPr>
    </w:pPr>
    <w:r>
      <w:rPr>
        <w:rFonts w:cs="Arial" w:ascii="Arial" w:hAnsi="Arial"/>
        <w:sz w:val="12"/>
        <w:szCs w:val="12"/>
      </w:rPr>
      <w:t>Comissão Permanente de Modelos de Licitações e Contratos da Consultoria-Geral da União</w:t>
    </w:r>
  </w:p>
  <w:p>
    <w:pPr>
      <w:pStyle w:val="Rodap"/>
      <w:rPr>
        <w:rFonts w:ascii="Arial" w:hAnsi="Arial" w:cs="Arial"/>
        <w:sz w:val="12"/>
        <w:szCs w:val="12"/>
      </w:rPr>
    </w:pPr>
    <w:r>
      <w:rPr>
        <w:rFonts w:cs="Arial" w:ascii="Arial" w:hAnsi="Arial"/>
        <w:sz w:val="12"/>
        <w:szCs w:val="12"/>
      </w:rPr>
      <w:t xml:space="preserve">Ata de Registro de Preços – modelo – pregão compras </w:t>
    </w:r>
  </w:p>
  <w:p>
    <w:pPr>
      <w:pStyle w:val="Rodap"/>
      <w:rPr>
        <w:rFonts w:ascii="Arial" w:hAnsi="Arial" w:cs="Arial"/>
      </w:rPr>
    </w:pPr>
    <w:r>
      <w:rPr>
        <w:rFonts w:cs="Arial" w:ascii="Arial" w:hAnsi="Arial"/>
        <w:sz w:val="12"/>
        <w:szCs w:val="12"/>
      </w:rPr>
      <w:t>Atualização:  Dezembro/2018</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0"/>
        <w:b/>
        <w:rFonts w:ascii="Arial" w:hAnsi="Arial"/>
        <w:color w:val="auto"/>
      </w:rPr>
    </w:lvl>
    <w:lvl w:ilvl="1">
      <w:start w:val="1"/>
      <w:numFmt w:val="decimal"/>
      <w:lvlText w:val="%1.%2."/>
      <w:lvlJc w:val="left"/>
      <w:pPr>
        <w:ind w:left="1283" w:hanging="432"/>
      </w:pPr>
      <w:rPr>
        <w:sz w:val="20"/>
        <w:szCs w:val="20"/>
        <w:rFonts w:ascii="Arial" w:hAnsi="Arial"/>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46fc"/>
    <w:pPr>
      <w:widowControl/>
      <w:bidi w:val="0"/>
      <w:jc w:val="left"/>
    </w:pPr>
    <w:rPr>
      <w:rFonts w:ascii="Ecofont_Spranq_eco_Sans" w:hAnsi="Ecofont_Spranq_eco_Sans" w:cs="Tahoma" w:eastAsia="Times New Roman"/>
      <w:color w:val="auto"/>
      <w:kern w:val="0"/>
      <w:sz w:val="24"/>
      <w:szCs w:val="24"/>
      <w:lang w:val="pt-BR" w:eastAsia="pt-BR" w:bidi="ar-SA"/>
    </w:rPr>
  </w:style>
  <w:style w:type="paragraph" w:styleId="Ttulo1">
    <w:name w:val="Heading 1"/>
    <w:basedOn w:val="Normal"/>
    <w:next w:val="Normal"/>
    <w:link w:val="Ttulo1Char"/>
    <w:qFormat/>
    <w:rsid w:val="006362ae"/>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GradeColoridanfase1Char" w:customStyle="1">
    <w:name w:val="Grade Colorida - Ênfase 1 Char"/>
    <w:link w:val="GradeColorida-nfase11"/>
    <w:qFormat/>
    <w:rsid w:val="00cb46fc"/>
    <w:rPr>
      <w:rFonts w:ascii="Ecofont_Spranq_eco_Sans" w:hAnsi="Ecofont_Spranq_eco_Sans" w:eastAsia="Calibri" w:cs="Tahoma"/>
      <w:i/>
      <w:iCs/>
      <w:color w:val="000000"/>
      <w:szCs w:val="24"/>
      <w:lang w:val="pt-BR" w:eastAsia="en-US" w:bidi="ar-SA"/>
    </w:rPr>
  </w:style>
  <w:style w:type="character" w:styleId="CorpodetextoChar" w:customStyle="1">
    <w:name w:val="Corpo de texto Char"/>
    <w:link w:val="Corpodetexto"/>
    <w:uiPriority w:val="99"/>
    <w:qFormat/>
    <w:rsid w:val="002f4c05"/>
    <w:rPr>
      <w:sz w:val="24"/>
      <w:szCs w:val="24"/>
    </w:rPr>
  </w:style>
  <w:style w:type="character" w:styleId="LinkdaInternet">
    <w:name w:val="Link da Internet"/>
    <w:uiPriority w:val="99"/>
    <w:unhideWhenUsed/>
    <w:rsid w:val="00520e7a"/>
    <w:rPr>
      <w:color w:val="0000FF"/>
      <w:u w:val="single"/>
    </w:rPr>
  </w:style>
  <w:style w:type="character" w:styleId="CabealhoChar" w:customStyle="1">
    <w:name w:val="Cabeçalho Char"/>
    <w:basedOn w:val="DefaultParagraphFont"/>
    <w:link w:val="Cabealho"/>
    <w:qFormat/>
    <w:rsid w:val="00bb5309"/>
    <w:rPr>
      <w:rFonts w:ascii="Ecofont_Spranq_eco_Sans" w:hAnsi="Ecofont_Spranq_eco_Sans" w:cs="Tahoma"/>
      <w:sz w:val="24"/>
      <w:szCs w:val="24"/>
    </w:rPr>
  </w:style>
  <w:style w:type="character" w:styleId="RodapChar" w:customStyle="1">
    <w:name w:val="Rodapé Char"/>
    <w:basedOn w:val="DefaultParagraphFont"/>
    <w:link w:val="Rodap"/>
    <w:qFormat/>
    <w:rsid w:val="00bb5309"/>
    <w:rPr>
      <w:rFonts w:ascii="Ecofont_Spranq_eco_Sans" w:hAnsi="Ecofont_Spranq_eco_Sans" w:cs="Tahoma"/>
      <w:sz w:val="24"/>
      <w:szCs w:val="24"/>
    </w:rPr>
  </w:style>
  <w:style w:type="character" w:styleId="Citao2Char" w:customStyle="1">
    <w:name w:val="citação 2 Char"/>
    <w:basedOn w:val="CitaoChar"/>
    <w:link w:val="citao2"/>
    <w:qFormat/>
    <w:rsid w:val="002038c8"/>
    <w:rPr>
      <w:rFonts w:ascii="Ecofont_Spranq_eco_Sans" w:hAnsi="Ecofont_Spranq_eco_Sans" w:eastAsia="Calibri" w:cs="Tahoma"/>
      <w:i/>
      <w:iCs/>
      <w:color w:val="000000"/>
      <w:sz w:val="24"/>
      <w:szCs w:val="24"/>
      <w:shd w:fill="FFFFCC" w:val="clear"/>
      <w:lang w:eastAsia="en-US"/>
    </w:rPr>
  </w:style>
  <w:style w:type="character" w:styleId="CitaoChar" w:customStyle="1">
    <w:name w:val="Citação Char"/>
    <w:basedOn w:val="DefaultParagraphFont"/>
    <w:link w:val="Citao"/>
    <w:uiPriority w:val="29"/>
    <w:qFormat/>
    <w:rsid w:val="002038c8"/>
    <w:rPr>
      <w:rFonts w:ascii="Ecofont_Spranq_eco_Sans" w:hAnsi="Ecofont_Spranq_eco_Sans" w:cs="Tahoma"/>
      <w:i/>
      <w:iCs/>
      <w:color w:val="000000" w:themeColor="text1"/>
      <w:sz w:val="24"/>
      <w:szCs w:val="24"/>
    </w:rPr>
  </w:style>
  <w:style w:type="character" w:styleId="Ttulo1Char" w:customStyle="1">
    <w:name w:val="Título 1 Char"/>
    <w:basedOn w:val="DefaultParagraphFont"/>
    <w:link w:val="Ttulo1"/>
    <w:qFormat/>
    <w:rsid w:val="006362ae"/>
    <w:rPr>
      <w:rFonts w:ascii="Cambria" w:hAnsi="Cambria" w:eastAsia="" w:cs="" w:asciiTheme="majorHAnsi" w:cstheme="majorBidi" w:eastAsiaTheme="majorEastAsia" w:hAnsiTheme="majorHAnsi"/>
      <w:b/>
      <w:bCs/>
      <w:color w:val="365F91" w:themeColor="accent1" w:themeShade="bf"/>
      <w:sz w:val="28"/>
      <w:szCs w:val="28"/>
    </w:rPr>
  </w:style>
  <w:style w:type="character" w:styleId="Nivel1Char" w:customStyle="1">
    <w:name w:val="Nivel1 Char"/>
    <w:basedOn w:val="Ttulo1Char"/>
    <w:link w:val="Nivel1"/>
    <w:qFormat/>
    <w:rsid w:val="006362ae"/>
    <w:rPr>
      <w:rFonts w:ascii="Arial" w:hAnsi="Arial" w:eastAsia="" w:cs="Arial" w:eastAsiaTheme="majorEastAsia"/>
      <w:b/>
      <w:bCs/>
      <w:color w:val="365F91" w:themeColor="accent1" w:themeShade="bf"/>
      <w:sz w:val="28"/>
      <w:szCs w:val="28"/>
    </w:rPr>
  </w:style>
  <w:style w:type="character" w:styleId="ListLabel1">
    <w:name w:val="ListLabel 1"/>
    <w:qFormat/>
    <w:rPr>
      <w:rFonts w:ascii="Arial" w:hAnsi="Arial"/>
      <w:b/>
      <w:color w:val="auto"/>
      <w:sz w:val="20"/>
    </w:rPr>
  </w:style>
  <w:style w:type="character" w:styleId="ListLabel2">
    <w:name w:val="ListLabel 2"/>
    <w:qFormat/>
    <w:rPr>
      <w:rFonts w:ascii="Arial" w:hAnsi="Arial"/>
      <w:sz w:val="20"/>
      <w:szCs w:val="20"/>
    </w:rPr>
  </w:style>
  <w:style w:type="character" w:styleId="ListLabel3">
    <w:name w:val="ListLabel 3"/>
    <w:qFormat/>
    <w:rPr>
      <w:rFonts w:cs="Courier New"/>
    </w:rPr>
  </w:style>
  <w:style w:type="character" w:styleId="ListLabel4">
    <w:name w:val="ListLabel 4"/>
    <w:qFormat/>
    <w:rPr>
      <w:rFonts w:cs="Courier New"/>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uiPriority w:val="99"/>
    <w:unhideWhenUsed/>
    <w:rsid w:val="002f4c05"/>
    <w:pPr>
      <w:spacing w:beforeAutospacing="1" w:afterAutospacing="1"/>
    </w:pPr>
    <w:rPr>
      <w:rFonts w:ascii="Times New Roman" w:hAnsi="Times New Roman" w:cs="Times New Roman"/>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GradeColoridanfase11" w:customStyle="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lang w:eastAsia="en-US"/>
    </w:rPr>
  </w:style>
  <w:style w:type="paragraph" w:styleId="ListParagraph">
    <w:name w:val="List Paragraph"/>
    <w:basedOn w:val="Normal"/>
    <w:uiPriority w:val="34"/>
    <w:qFormat/>
    <w:rsid w:val="003f48df"/>
    <w:pPr>
      <w:spacing w:before="0" w:after="0"/>
      <w:ind w:left="720" w:hanging="0"/>
      <w:contextualSpacing/>
    </w:pPr>
    <w:rPr/>
  </w:style>
  <w:style w:type="paragraph" w:styleId="Cabealho">
    <w:name w:val="Header"/>
    <w:basedOn w:val="Normal"/>
    <w:link w:val="CabealhoChar"/>
    <w:unhideWhenUsed/>
    <w:rsid w:val="00bb5309"/>
    <w:pPr>
      <w:tabs>
        <w:tab w:val="clear" w:pos="708"/>
        <w:tab w:val="center" w:pos="4252" w:leader="none"/>
        <w:tab w:val="right" w:pos="8504" w:leader="none"/>
      </w:tabs>
    </w:pPr>
    <w:rPr/>
  </w:style>
  <w:style w:type="paragraph" w:styleId="Rodap">
    <w:name w:val="Footer"/>
    <w:basedOn w:val="Normal"/>
    <w:link w:val="RodapChar"/>
    <w:unhideWhenUsed/>
    <w:rsid w:val="00bb5309"/>
    <w:pPr>
      <w:tabs>
        <w:tab w:val="clear" w:pos="708"/>
        <w:tab w:val="center" w:pos="4252" w:leader="none"/>
        <w:tab w:val="right" w:pos="8504" w:leader="none"/>
      </w:tabs>
    </w:pPr>
    <w:rPr/>
  </w:style>
  <w:style w:type="paragraph" w:styleId="Citao2" w:customStyle="1">
    <w:name w:val="citação 2"/>
    <w:basedOn w:val="Quote"/>
    <w:link w:val="citao2Char"/>
    <w:qFormat/>
    <w:rsid w:val="002038c8"/>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olor w:val="000000"/>
      <w:lang w:eastAsia="en-US"/>
    </w:rPr>
  </w:style>
  <w:style w:type="paragraph" w:styleId="Quote">
    <w:name w:val="Quote"/>
    <w:basedOn w:val="Normal"/>
    <w:next w:val="Normal"/>
    <w:link w:val="CitaoChar"/>
    <w:uiPriority w:val="29"/>
    <w:qFormat/>
    <w:rsid w:val="002038c8"/>
    <w:pPr/>
    <w:rPr>
      <w:i/>
      <w:iCs/>
      <w:color w:val="000000" w:themeColor="text1"/>
    </w:rPr>
  </w:style>
  <w:style w:type="paragraph" w:styleId="Nivel1" w:customStyle="1">
    <w:name w:val="Nivel1"/>
    <w:basedOn w:val="Ttulo1"/>
    <w:next w:val="Normal"/>
    <w:link w:val="Nivel1Char"/>
    <w:qFormat/>
    <w:rsid w:val="006362ae"/>
    <w:pPr>
      <w:widowControl w:val="false"/>
      <w:spacing w:lineRule="auto" w:line="276" w:before="480" w:after="120"/>
      <w:ind w:left="360" w:hanging="360"/>
      <w:jc w:val="both"/>
    </w:pPr>
    <w:rPr>
      <w:rFonts w:ascii="Arial" w:hAnsi="Arial" w:cs="Arial"/>
      <w:color w:val="auto"/>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6dd8678f10aef9e3dea29d8576d02e9d">
  <xsd:schema xmlns:xsd="http://www.w3.org/2001/XMLSchema" xmlns:xs="http://www.w3.org/2001/XMLSchema" xmlns:p="http://schemas.microsoft.com/office/2006/metadata/properties" xmlns:ns2="52c93ea8-e2de-466c-b401-d7fabeb9490e" targetNamespace="http://schemas.microsoft.com/office/2006/metadata/properties" ma:root="true" ma:fieldsID="0bf9b409b15e3dee1411fcad88d9b504"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97A23-5452-412E-B0B0-FF855C75CE64}">
  <ds:schemaRefs>
    <ds:schemaRef ds:uri="http://schemas.microsoft.com/sharepoint/v3/contenttype/forms"/>
  </ds:schemaRefs>
</ds:datastoreItem>
</file>

<file path=customXml/itemProps2.xml><?xml version="1.0" encoding="utf-8"?>
<ds:datastoreItem xmlns:ds="http://schemas.openxmlformats.org/officeDocument/2006/customXml" ds:itemID="{47FB25DE-7032-491B-9A2B-6C174141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C7201-7ED3-4096-9DE3-0512CE1D9A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LibreOffice/6.2.8.2$Windows_X86_64 LibreOffice_project/f82ddfca21ebc1e222a662a32b25c0c9d20169ee</Application>
  <Pages>4</Pages>
  <Words>1594</Words>
  <Characters>9074</Characters>
  <CharactersWithSpaces>10561</CharactersWithSpaces>
  <Paragraphs>85</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2019-11-29T10:46:00Z</dcterms:created>
  <dc:creator>CONJUR-MP</dc:creator>
  <dc:description>Texto idêntico ao modelo de serviços, salvo pela especificação do objeto contratado e da respectiva nota explicativa.</dc:description>
  <dc:language>pt-BR</dc:language>
  <cp:lastModifiedBy/>
  <dcterms:modified xsi:type="dcterms:W3CDTF">2020-03-09T15:04:18Z</dcterms:modified>
  <cp:revision>4</cp:revision>
  <dc:subject/>
  <dc:title>MODELO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AuthorIds_UIVersion_2048">
    <vt:lpwstr>44</vt:lpwstr>
  </property>
  <property fmtid="{D5CDD505-2E9C-101B-9397-08002B2CF9AE}" pid="4" name="Company">
    <vt:lpwstr>EDUARDO DOTTI</vt:lpwstr>
  </property>
  <property fmtid="{D5CDD505-2E9C-101B-9397-08002B2CF9AE}" pid="5" name="ContentTypeId">
    <vt:lpwstr>0x01010012A2765E7DFD38469B2E626874CD0041</vt:lpwstr>
  </property>
  <property fmtid="{D5CDD505-2E9C-101B-9397-08002B2CF9AE}" pid="6" name="DocSecurity">
    <vt:i4>0</vt:i4>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